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84"/>
          <w:szCs w:val="84"/>
          <w:highlight w:val="none"/>
        </w:rPr>
      </w:pPr>
      <w:r>
        <w:rPr>
          <w:rFonts w:hint="eastAsia" w:ascii="宋体" w:hAnsi="宋体" w:cs="宋体"/>
          <w:b/>
          <w:sz w:val="84"/>
          <w:szCs w:val="84"/>
          <w:highlight w:val="none"/>
        </w:rPr>
        <w:t>采购</w:t>
      </w:r>
    </w:p>
    <w:p>
      <w:pPr>
        <w:jc w:val="center"/>
        <w:rPr>
          <w:rFonts w:ascii="宋体" w:hAnsi="宋体" w:cs="宋体"/>
          <w:b/>
          <w:sz w:val="84"/>
          <w:szCs w:val="84"/>
          <w:highlight w:val="none"/>
        </w:rPr>
      </w:pPr>
      <w:r>
        <w:rPr>
          <w:rFonts w:hint="eastAsia" w:ascii="宋体" w:hAnsi="宋体" w:cs="宋体"/>
          <w:b/>
          <w:sz w:val="84"/>
          <w:szCs w:val="84"/>
          <w:highlight w:val="none"/>
        </w:rPr>
        <w:t>货物和服务项目</w:t>
      </w:r>
    </w:p>
    <w:p>
      <w:pPr>
        <w:rPr>
          <w:rFonts w:ascii="宋体" w:hAnsi="宋体" w:cs="宋体"/>
          <w:b/>
          <w:szCs w:val="21"/>
          <w:highlight w:val="none"/>
        </w:rPr>
      </w:pPr>
    </w:p>
    <w:p>
      <w:pPr>
        <w:rPr>
          <w:rFonts w:ascii="宋体" w:hAnsi="宋体" w:cs="宋体"/>
          <w:b/>
          <w:szCs w:val="21"/>
          <w:highlight w:val="none"/>
        </w:rPr>
      </w:pPr>
    </w:p>
    <w:p>
      <w:pPr>
        <w:rPr>
          <w:rFonts w:ascii="宋体" w:hAnsi="宋体" w:cs="宋体"/>
          <w:b/>
          <w:szCs w:val="21"/>
          <w:highlight w:val="none"/>
        </w:rPr>
      </w:pPr>
    </w:p>
    <w:p>
      <w:pPr>
        <w:rPr>
          <w:rFonts w:ascii="宋体" w:hAnsi="宋体" w:cs="宋体"/>
          <w:b/>
          <w:szCs w:val="21"/>
          <w:highlight w:val="none"/>
        </w:rPr>
      </w:pPr>
    </w:p>
    <w:p>
      <w:pPr>
        <w:rPr>
          <w:rFonts w:ascii="宋体" w:hAnsi="宋体" w:cs="宋体"/>
          <w:b/>
          <w:szCs w:val="21"/>
          <w:highlight w:val="none"/>
        </w:rPr>
      </w:pPr>
    </w:p>
    <w:p>
      <w:pPr>
        <w:rPr>
          <w:rFonts w:ascii="宋体" w:hAnsi="宋体" w:cs="宋体"/>
          <w:b/>
          <w:szCs w:val="21"/>
          <w:highlight w:val="none"/>
        </w:rPr>
      </w:pPr>
    </w:p>
    <w:p>
      <w:pPr>
        <w:tabs>
          <w:tab w:val="left" w:pos="0"/>
        </w:tabs>
        <w:jc w:val="center"/>
        <w:rPr>
          <w:rFonts w:ascii="宋体" w:hAnsi="宋体" w:cs="宋体"/>
          <w:b/>
          <w:sz w:val="32"/>
          <w:szCs w:val="32"/>
          <w:highlight w:val="none"/>
        </w:rPr>
      </w:pPr>
      <w:r>
        <w:rPr>
          <w:rFonts w:hint="eastAsia" w:ascii="宋体" w:hAnsi="宋体" w:cs="宋体"/>
          <w:b/>
          <w:sz w:val="84"/>
          <w:szCs w:val="84"/>
          <w:highlight w:val="none"/>
        </w:rPr>
        <w:t>招标文件</w:t>
      </w:r>
    </w:p>
    <w:p>
      <w:pPr>
        <w:rPr>
          <w:rFonts w:ascii="宋体" w:hAnsi="宋体" w:cs="宋体"/>
          <w:sz w:val="32"/>
          <w:szCs w:val="32"/>
          <w:highlight w:val="none"/>
        </w:rPr>
      </w:pPr>
    </w:p>
    <w:p>
      <w:pPr>
        <w:rPr>
          <w:rFonts w:ascii="宋体" w:hAnsi="宋体" w:cs="宋体"/>
          <w:sz w:val="32"/>
          <w:szCs w:val="32"/>
          <w:highlight w:val="none"/>
        </w:rPr>
      </w:pPr>
      <w:r>
        <w:rPr>
          <w:rFonts w:hint="eastAsia" w:ascii="宋体" w:hAnsi="宋体" w:cs="宋体"/>
          <w:sz w:val="32"/>
          <w:szCs w:val="32"/>
          <w:highlight w:val="none"/>
        </w:rPr>
        <w:t xml:space="preserve">                            </w:t>
      </w:r>
    </w:p>
    <w:p>
      <w:pPr>
        <w:rPr>
          <w:rFonts w:ascii="宋体" w:hAnsi="宋体" w:cs="宋体"/>
          <w:sz w:val="32"/>
          <w:szCs w:val="32"/>
          <w:highlight w:val="none"/>
        </w:rPr>
      </w:pPr>
    </w:p>
    <w:p>
      <w:pPr>
        <w:rPr>
          <w:rFonts w:ascii="宋体" w:hAnsi="宋体" w:cs="宋体"/>
          <w:sz w:val="32"/>
          <w:szCs w:val="32"/>
          <w:highlight w:val="none"/>
        </w:rPr>
      </w:pPr>
    </w:p>
    <w:p>
      <w:pPr>
        <w:rPr>
          <w:rFonts w:ascii="宋体" w:hAnsi="宋体" w:cs="宋体"/>
          <w:sz w:val="32"/>
          <w:szCs w:val="32"/>
          <w:highlight w:val="none"/>
        </w:rPr>
      </w:pPr>
    </w:p>
    <w:p>
      <w:pPr>
        <w:rPr>
          <w:rFonts w:ascii="宋体" w:hAnsi="宋体" w:cs="宋体"/>
          <w:sz w:val="32"/>
          <w:szCs w:val="32"/>
          <w:highlight w:val="none"/>
        </w:rPr>
      </w:pPr>
    </w:p>
    <w:p>
      <w:pPr>
        <w:ind w:firstLine="1405" w:firstLineChars="500"/>
        <w:rPr>
          <w:rFonts w:ascii="宋体" w:hAnsi="宋体" w:cs="宋体"/>
          <w:b/>
          <w:spacing w:val="4"/>
          <w:sz w:val="28"/>
          <w:szCs w:val="28"/>
          <w:highlight w:val="none"/>
        </w:rPr>
      </w:pPr>
      <w:r>
        <w:rPr>
          <w:rFonts w:hint="eastAsia" w:ascii="宋体" w:hAnsi="宋体" w:cs="宋体"/>
          <w:b/>
          <w:sz w:val="28"/>
          <w:szCs w:val="28"/>
          <w:highlight w:val="none"/>
        </w:rPr>
        <w:t xml:space="preserve">招标编号: </w:t>
      </w:r>
      <w:r>
        <w:rPr>
          <w:rFonts w:hint="eastAsia" w:ascii="宋体" w:hAnsi="宋体" w:cs="宋体"/>
          <w:b/>
          <w:spacing w:val="4"/>
          <w:sz w:val="28"/>
          <w:szCs w:val="28"/>
          <w:highlight w:val="none"/>
        </w:rPr>
        <w:t>ZFTY2020-YA008#</w:t>
      </w:r>
    </w:p>
    <w:p>
      <w:pPr>
        <w:ind w:firstLine="2597" w:firstLineChars="1078"/>
        <w:rPr>
          <w:rFonts w:ascii="宋体" w:hAnsi="宋体" w:cs="宋体"/>
          <w:b/>
          <w:sz w:val="24"/>
          <w:highlight w:val="none"/>
          <w:u w:val="single"/>
        </w:rPr>
      </w:pPr>
    </w:p>
    <w:p>
      <w:pPr>
        <w:ind w:left="2801" w:leftChars="665" w:hanging="1405" w:hangingChars="500"/>
        <w:rPr>
          <w:rFonts w:ascii="宋体" w:hAnsi="宋体" w:cs="宋体"/>
          <w:b/>
          <w:sz w:val="28"/>
          <w:szCs w:val="28"/>
          <w:highlight w:val="none"/>
        </w:rPr>
      </w:pPr>
      <w:r>
        <w:rPr>
          <w:rFonts w:hint="eastAsia" w:ascii="宋体" w:hAnsi="宋体" w:cs="宋体"/>
          <w:b/>
          <w:sz w:val="28"/>
          <w:szCs w:val="28"/>
          <w:highlight w:val="none"/>
        </w:rPr>
        <w:t>项目名称: 永安市石墨和石墨烯产业园园区水厂技术提升改造工程设备采购与安装项目</w:t>
      </w:r>
    </w:p>
    <w:p>
      <w:pPr>
        <w:ind w:firstLine="1827" w:firstLineChars="650"/>
        <w:rPr>
          <w:rFonts w:ascii="宋体" w:hAnsi="宋体" w:cs="宋体"/>
          <w:b/>
          <w:sz w:val="28"/>
          <w:szCs w:val="28"/>
          <w:highlight w:val="none"/>
        </w:rPr>
      </w:pPr>
    </w:p>
    <w:p>
      <w:pPr>
        <w:ind w:firstLine="1405" w:firstLineChars="500"/>
        <w:rPr>
          <w:rFonts w:ascii="宋体" w:hAnsi="宋体" w:cs="宋体"/>
          <w:b/>
          <w:sz w:val="28"/>
          <w:szCs w:val="28"/>
          <w:highlight w:val="none"/>
        </w:rPr>
      </w:pPr>
      <w:r>
        <w:rPr>
          <w:rFonts w:hint="eastAsia" w:ascii="宋体" w:hAnsi="宋体" w:cs="宋体"/>
          <w:b/>
          <w:sz w:val="28"/>
          <w:szCs w:val="28"/>
          <w:highlight w:val="none"/>
        </w:rPr>
        <w:t>采购方式：公开招标</w:t>
      </w:r>
    </w:p>
    <w:p>
      <w:pPr>
        <w:ind w:firstLine="1827" w:firstLineChars="650"/>
        <w:rPr>
          <w:rFonts w:ascii="宋体" w:hAnsi="宋体" w:cs="宋体"/>
          <w:b/>
          <w:sz w:val="28"/>
          <w:szCs w:val="28"/>
          <w:highlight w:val="none"/>
        </w:rPr>
      </w:pPr>
    </w:p>
    <w:p>
      <w:pPr>
        <w:ind w:firstLine="1405" w:firstLineChars="500"/>
        <w:rPr>
          <w:rFonts w:ascii="宋体" w:hAnsi="宋体" w:cs="宋体"/>
          <w:b/>
          <w:sz w:val="28"/>
          <w:szCs w:val="28"/>
          <w:highlight w:val="none"/>
        </w:rPr>
      </w:pPr>
      <w:r>
        <w:rPr>
          <w:rFonts w:hint="eastAsia" w:ascii="宋体" w:hAnsi="宋体" w:cs="宋体"/>
          <w:b/>
          <w:sz w:val="28"/>
          <w:szCs w:val="28"/>
          <w:highlight w:val="none"/>
        </w:rPr>
        <w:t>采购人:永安市自来水公司</w:t>
      </w:r>
    </w:p>
    <w:p>
      <w:pPr>
        <w:ind w:firstLine="1827" w:firstLineChars="650"/>
        <w:rPr>
          <w:rFonts w:ascii="宋体" w:hAnsi="宋体" w:cs="宋体"/>
          <w:b/>
          <w:sz w:val="28"/>
          <w:szCs w:val="28"/>
          <w:highlight w:val="none"/>
        </w:rPr>
      </w:pPr>
    </w:p>
    <w:p>
      <w:pPr>
        <w:ind w:firstLine="1405" w:firstLineChars="500"/>
        <w:rPr>
          <w:rFonts w:ascii="宋体" w:hAnsi="宋体" w:cs="宋体"/>
          <w:b/>
          <w:sz w:val="28"/>
          <w:szCs w:val="28"/>
          <w:highlight w:val="none"/>
        </w:rPr>
      </w:pPr>
      <w:r>
        <w:rPr>
          <w:rFonts w:hint="eastAsia" w:ascii="宋体" w:hAnsi="宋体" w:cs="宋体"/>
          <w:b/>
          <w:sz w:val="28"/>
          <w:szCs w:val="28"/>
          <w:highlight w:val="none"/>
        </w:rPr>
        <w:t>招标代理机构:福建中福天缘工程造价咨询有限公司</w:t>
      </w:r>
    </w:p>
    <w:p>
      <w:pPr>
        <w:ind w:firstLine="1827" w:firstLineChars="650"/>
        <w:rPr>
          <w:rFonts w:ascii="宋体" w:hAnsi="宋体" w:cs="宋体"/>
          <w:b/>
          <w:sz w:val="28"/>
          <w:szCs w:val="28"/>
          <w:highlight w:val="none"/>
        </w:rPr>
      </w:pPr>
    </w:p>
    <w:p>
      <w:pPr>
        <w:ind w:firstLine="1827" w:firstLineChars="650"/>
        <w:rPr>
          <w:rFonts w:ascii="宋体" w:hAnsi="宋体" w:cs="宋体"/>
          <w:b/>
          <w:sz w:val="28"/>
          <w:szCs w:val="28"/>
          <w:highlight w:val="none"/>
        </w:rPr>
      </w:pPr>
    </w:p>
    <w:p>
      <w:pPr>
        <w:ind w:firstLine="1827" w:firstLineChars="650"/>
        <w:rPr>
          <w:rFonts w:ascii="宋体" w:hAnsi="宋体" w:cs="宋体"/>
          <w:b/>
          <w:sz w:val="28"/>
          <w:szCs w:val="28"/>
          <w:highlight w:val="none"/>
        </w:rPr>
      </w:pPr>
    </w:p>
    <w:p>
      <w:pPr>
        <w:ind w:firstLine="1827" w:firstLineChars="650"/>
        <w:rPr>
          <w:rFonts w:ascii="宋体" w:hAnsi="宋体" w:cs="宋体"/>
          <w:b/>
          <w:sz w:val="28"/>
          <w:szCs w:val="28"/>
          <w:highlight w:val="none"/>
        </w:rPr>
      </w:pPr>
    </w:p>
    <w:p>
      <w:pPr>
        <w:ind w:firstLine="1827" w:firstLineChars="650"/>
        <w:rPr>
          <w:rFonts w:ascii="宋体" w:hAnsi="宋体" w:cs="宋体"/>
          <w:b/>
          <w:sz w:val="28"/>
          <w:szCs w:val="28"/>
          <w:highlight w:val="none"/>
        </w:rPr>
      </w:pPr>
    </w:p>
    <w:p>
      <w:pPr>
        <w:jc w:val="center"/>
        <w:rPr>
          <w:rFonts w:ascii="宋体" w:hAnsi="宋体" w:cs="宋体"/>
          <w:b/>
          <w:sz w:val="28"/>
          <w:szCs w:val="28"/>
          <w:highlight w:val="none"/>
        </w:rPr>
      </w:pPr>
      <w:bookmarkStart w:id="0" w:name="_Toc4563"/>
      <w:bookmarkStart w:id="1" w:name="_Toc4353"/>
      <w:bookmarkStart w:id="2" w:name="_Toc12964"/>
      <w:bookmarkStart w:id="3" w:name="_Toc16261"/>
      <w:bookmarkStart w:id="4" w:name="_Toc13713"/>
      <w:bookmarkStart w:id="5" w:name="_Toc24091"/>
      <w:bookmarkStart w:id="6" w:name="_Toc19662"/>
      <w:r>
        <w:rPr>
          <w:rFonts w:hint="eastAsia" w:ascii="宋体" w:hAnsi="宋体" w:cs="宋体"/>
          <w:b/>
          <w:sz w:val="28"/>
          <w:szCs w:val="28"/>
          <w:highlight w:val="none"/>
        </w:rPr>
        <w:t>二0 二0年九 月</w:t>
      </w:r>
      <w:bookmarkEnd w:id="0"/>
      <w:bookmarkEnd w:id="1"/>
      <w:bookmarkEnd w:id="2"/>
      <w:bookmarkEnd w:id="3"/>
      <w:bookmarkEnd w:id="4"/>
      <w:bookmarkEnd w:id="5"/>
      <w:bookmarkEnd w:id="6"/>
    </w:p>
    <w:p>
      <w:pPr>
        <w:rPr>
          <w:highlight w:val="none"/>
        </w:rPr>
      </w:pPr>
    </w:p>
    <w:p>
      <w:pPr>
        <w:pStyle w:val="2"/>
        <w:rPr>
          <w:highlight w:val="none"/>
        </w:rPr>
      </w:pPr>
    </w:p>
    <w:p>
      <w:pPr>
        <w:pStyle w:val="19"/>
        <w:jc w:val="center"/>
        <w:outlineLvl w:val="0"/>
        <w:rPr>
          <w:rFonts w:hAnsi="宋体" w:cs="宋体"/>
          <w:b/>
          <w:sz w:val="24"/>
          <w:highlight w:val="none"/>
        </w:rPr>
      </w:pPr>
      <w:r>
        <w:rPr>
          <w:rFonts w:hint="eastAsia" w:hAnsi="宋体" w:cs="宋体"/>
          <w:b/>
          <w:sz w:val="24"/>
          <w:highlight w:val="none"/>
        </w:rPr>
        <w:t xml:space="preserve">                                       </w:t>
      </w:r>
    </w:p>
    <w:sdt>
      <w:sdtPr>
        <w:rPr>
          <w:rFonts w:ascii="宋体" w:hAnsi="宋体"/>
          <w:highlight w:val="none"/>
        </w:rPr>
        <w:id w:val="147451893"/>
        <w:docPartObj>
          <w:docPartGallery w:val="Table of Contents"/>
          <w:docPartUnique/>
        </w:docPartObj>
      </w:sdtPr>
      <w:sdtEndPr>
        <w:rPr>
          <w:rFonts w:ascii="宋体" w:hAnsi="宋体"/>
          <w:b/>
          <w:highlight w:val="none"/>
        </w:rPr>
      </w:sdtEndPr>
      <w:sdtContent>
        <w:p>
          <w:pPr>
            <w:jc w:val="center"/>
            <w:rPr>
              <w:b/>
              <w:bCs/>
              <w:sz w:val="44"/>
              <w:szCs w:val="44"/>
              <w:highlight w:val="none"/>
            </w:rPr>
          </w:pPr>
          <w:r>
            <w:rPr>
              <w:rFonts w:ascii="宋体" w:hAnsi="宋体"/>
              <w:b/>
              <w:bCs/>
              <w:sz w:val="44"/>
              <w:szCs w:val="44"/>
              <w:highlight w:val="none"/>
            </w:rPr>
            <w:t>目</w:t>
          </w:r>
          <w:r>
            <w:rPr>
              <w:rFonts w:hint="eastAsia" w:ascii="宋体" w:hAnsi="宋体"/>
              <w:b/>
              <w:bCs/>
              <w:sz w:val="44"/>
              <w:szCs w:val="44"/>
              <w:highlight w:val="none"/>
            </w:rPr>
            <w:t xml:space="preserve">  </w:t>
          </w:r>
          <w:r>
            <w:rPr>
              <w:rFonts w:ascii="宋体" w:hAnsi="宋体"/>
              <w:b/>
              <w:bCs/>
              <w:sz w:val="44"/>
              <w:szCs w:val="44"/>
              <w:highlight w:val="none"/>
            </w:rPr>
            <w:t>录</w:t>
          </w:r>
        </w:p>
        <w:p>
          <w:pPr>
            <w:pStyle w:val="166"/>
            <w:tabs>
              <w:tab w:val="right" w:leader="dot" w:pos="9243"/>
            </w:tabs>
            <w:rPr>
              <w:b/>
              <w:sz w:val="21"/>
              <w:szCs w:val="21"/>
              <w:highlight w:val="none"/>
            </w:rPr>
          </w:pPr>
          <w:r>
            <w:rPr>
              <w:sz w:val="21"/>
              <w:szCs w:val="21"/>
              <w:highlight w:val="none"/>
            </w:rPr>
            <w:fldChar w:fldCharType="begin"/>
          </w:r>
          <w:r>
            <w:rPr>
              <w:sz w:val="21"/>
              <w:szCs w:val="21"/>
              <w:highlight w:val="none"/>
            </w:rPr>
            <w:instrText xml:space="preserve">TOC \o "1-2" \h \u </w:instrText>
          </w:r>
          <w:r>
            <w:rPr>
              <w:sz w:val="21"/>
              <w:szCs w:val="21"/>
              <w:highlight w:val="none"/>
            </w:rPr>
            <w:fldChar w:fldCharType="separate"/>
          </w:r>
        </w:p>
        <w:p>
          <w:pPr>
            <w:pStyle w:val="166"/>
            <w:tabs>
              <w:tab w:val="right" w:leader="dot" w:pos="9243"/>
            </w:tabs>
            <w:rPr>
              <w:rFonts w:ascii="宋体" w:hAnsi="宋体" w:cs="宋体"/>
              <w:b/>
              <w:sz w:val="24"/>
              <w:szCs w:val="24"/>
              <w:highlight w:val="none"/>
            </w:rPr>
          </w:pPr>
          <w:r>
            <w:rPr>
              <w:highlight w:val="none"/>
            </w:rPr>
            <w:fldChar w:fldCharType="begin"/>
          </w:r>
          <w:r>
            <w:rPr>
              <w:highlight w:val="none"/>
            </w:rPr>
            <w:instrText xml:space="preserve"> HYPERLINK \l "_Toc19548" </w:instrText>
          </w:r>
          <w:r>
            <w:rPr>
              <w:highlight w:val="none"/>
            </w:rPr>
            <w:fldChar w:fldCharType="separate"/>
          </w:r>
          <w:r>
            <w:rPr>
              <w:rFonts w:hint="eastAsia" w:ascii="宋体" w:hAnsi="宋体" w:cs="宋体"/>
              <w:b/>
              <w:sz w:val="24"/>
              <w:szCs w:val="24"/>
              <w:highlight w:val="none"/>
            </w:rPr>
            <w:t>第一章  投标邀请</w:t>
          </w:r>
          <w:r>
            <w:rPr>
              <w:rFonts w:hint="eastAsia" w:ascii="宋体" w:hAnsi="宋体" w:cs="宋体"/>
              <w:b/>
              <w:sz w:val="24"/>
              <w:szCs w:val="24"/>
              <w:highlight w:val="none"/>
            </w:rPr>
            <w:tab/>
          </w:r>
          <w:r>
            <w:rPr>
              <w:rFonts w:hint="eastAsia" w:ascii="宋体" w:hAnsi="宋体" w:cs="宋体"/>
              <w:b/>
              <w:sz w:val="24"/>
              <w:szCs w:val="24"/>
              <w:highlight w:val="none"/>
            </w:rPr>
            <w:fldChar w:fldCharType="begin"/>
          </w:r>
          <w:r>
            <w:rPr>
              <w:rFonts w:hint="eastAsia" w:ascii="宋体" w:hAnsi="宋体" w:cs="宋体"/>
              <w:b/>
              <w:sz w:val="24"/>
              <w:szCs w:val="24"/>
              <w:highlight w:val="none"/>
            </w:rPr>
            <w:instrText xml:space="preserve"> PAGEREF _Toc19548 </w:instrText>
          </w:r>
          <w:r>
            <w:rPr>
              <w:rFonts w:hint="eastAsia" w:ascii="宋体" w:hAnsi="宋体" w:cs="宋体"/>
              <w:b/>
              <w:sz w:val="24"/>
              <w:szCs w:val="24"/>
              <w:highlight w:val="none"/>
            </w:rPr>
            <w:fldChar w:fldCharType="separate"/>
          </w:r>
          <w:r>
            <w:rPr>
              <w:rFonts w:ascii="宋体" w:hAnsi="宋体" w:cs="宋体"/>
              <w:b/>
              <w:sz w:val="24"/>
              <w:szCs w:val="24"/>
              <w:highlight w:val="none"/>
            </w:rPr>
            <w:t>3</w:t>
          </w:r>
          <w:r>
            <w:rPr>
              <w:rFonts w:hint="eastAsia" w:ascii="宋体" w:hAnsi="宋体" w:cs="宋体"/>
              <w:b/>
              <w:sz w:val="24"/>
              <w:szCs w:val="24"/>
              <w:highlight w:val="none"/>
            </w:rPr>
            <w:fldChar w:fldCharType="end"/>
          </w:r>
          <w:r>
            <w:rPr>
              <w:rFonts w:hint="eastAsia" w:ascii="宋体" w:hAnsi="宋体" w:cs="宋体"/>
              <w:b/>
              <w:sz w:val="24"/>
              <w:szCs w:val="24"/>
              <w:highlight w:val="none"/>
            </w:rPr>
            <w:fldChar w:fldCharType="end"/>
          </w:r>
        </w:p>
        <w:p>
          <w:pPr>
            <w:pStyle w:val="166"/>
            <w:tabs>
              <w:tab w:val="right" w:leader="dot" w:pos="9243"/>
            </w:tabs>
            <w:rPr>
              <w:rFonts w:ascii="宋体" w:hAnsi="宋体" w:cs="宋体"/>
              <w:b/>
              <w:sz w:val="24"/>
              <w:szCs w:val="24"/>
              <w:highlight w:val="none"/>
            </w:rPr>
          </w:pPr>
          <w:r>
            <w:rPr>
              <w:highlight w:val="none"/>
            </w:rPr>
            <w:fldChar w:fldCharType="begin"/>
          </w:r>
          <w:r>
            <w:rPr>
              <w:highlight w:val="none"/>
            </w:rPr>
            <w:instrText xml:space="preserve"> HYPERLINK \l "_Toc6328" </w:instrText>
          </w:r>
          <w:r>
            <w:rPr>
              <w:highlight w:val="none"/>
            </w:rPr>
            <w:fldChar w:fldCharType="separate"/>
          </w:r>
          <w:r>
            <w:rPr>
              <w:rFonts w:hint="eastAsia" w:ascii="宋体" w:hAnsi="宋体" w:cs="宋体"/>
              <w:b/>
              <w:sz w:val="24"/>
              <w:szCs w:val="24"/>
              <w:highlight w:val="none"/>
            </w:rPr>
            <w:t>第二章 投标人须知前附表</w:t>
          </w:r>
          <w:r>
            <w:rPr>
              <w:rFonts w:hint="eastAsia" w:ascii="宋体" w:hAnsi="宋体" w:cs="宋体"/>
              <w:b/>
              <w:sz w:val="24"/>
              <w:szCs w:val="24"/>
              <w:highlight w:val="none"/>
            </w:rPr>
            <w:tab/>
          </w:r>
          <w:r>
            <w:rPr>
              <w:rFonts w:hint="eastAsia" w:ascii="宋体" w:hAnsi="宋体" w:cs="宋体"/>
              <w:b/>
              <w:sz w:val="24"/>
              <w:szCs w:val="24"/>
              <w:highlight w:val="none"/>
            </w:rPr>
            <w:fldChar w:fldCharType="begin"/>
          </w:r>
          <w:r>
            <w:rPr>
              <w:rFonts w:hint="eastAsia" w:ascii="宋体" w:hAnsi="宋体" w:cs="宋体"/>
              <w:b/>
              <w:sz w:val="24"/>
              <w:szCs w:val="24"/>
              <w:highlight w:val="none"/>
            </w:rPr>
            <w:instrText xml:space="preserve"> PAGEREF _Toc6328 </w:instrText>
          </w:r>
          <w:r>
            <w:rPr>
              <w:rFonts w:hint="eastAsia" w:ascii="宋体" w:hAnsi="宋体" w:cs="宋体"/>
              <w:b/>
              <w:sz w:val="24"/>
              <w:szCs w:val="24"/>
              <w:highlight w:val="none"/>
            </w:rPr>
            <w:fldChar w:fldCharType="separate"/>
          </w:r>
          <w:r>
            <w:rPr>
              <w:rFonts w:ascii="宋体" w:hAnsi="宋体" w:cs="宋体"/>
              <w:b/>
              <w:sz w:val="24"/>
              <w:szCs w:val="24"/>
              <w:highlight w:val="none"/>
            </w:rPr>
            <w:t>5</w:t>
          </w:r>
          <w:r>
            <w:rPr>
              <w:rFonts w:hint="eastAsia" w:ascii="宋体" w:hAnsi="宋体" w:cs="宋体"/>
              <w:b/>
              <w:sz w:val="24"/>
              <w:szCs w:val="24"/>
              <w:highlight w:val="none"/>
            </w:rPr>
            <w:fldChar w:fldCharType="end"/>
          </w:r>
          <w:r>
            <w:rPr>
              <w:rFonts w:hint="eastAsia" w:ascii="宋体" w:hAnsi="宋体" w:cs="宋体"/>
              <w:b/>
              <w:sz w:val="24"/>
              <w:szCs w:val="24"/>
              <w:highlight w:val="none"/>
            </w:rPr>
            <w:fldChar w:fldCharType="end"/>
          </w:r>
        </w:p>
        <w:p>
          <w:pPr>
            <w:pStyle w:val="166"/>
            <w:tabs>
              <w:tab w:val="right" w:leader="dot" w:pos="9243"/>
            </w:tabs>
            <w:rPr>
              <w:rFonts w:ascii="宋体" w:hAnsi="宋体" w:cs="宋体"/>
              <w:b/>
              <w:sz w:val="24"/>
              <w:szCs w:val="24"/>
              <w:highlight w:val="none"/>
            </w:rPr>
          </w:pPr>
          <w:r>
            <w:rPr>
              <w:highlight w:val="none"/>
            </w:rPr>
            <w:fldChar w:fldCharType="begin"/>
          </w:r>
          <w:r>
            <w:rPr>
              <w:highlight w:val="none"/>
            </w:rPr>
            <w:instrText xml:space="preserve"> HYPERLINK \l "_Toc10846" </w:instrText>
          </w:r>
          <w:r>
            <w:rPr>
              <w:highlight w:val="none"/>
            </w:rPr>
            <w:fldChar w:fldCharType="separate"/>
          </w:r>
          <w:r>
            <w:rPr>
              <w:rFonts w:hint="eastAsia" w:ascii="宋体" w:hAnsi="宋体" w:cs="宋体"/>
              <w:b/>
              <w:sz w:val="24"/>
              <w:szCs w:val="24"/>
              <w:highlight w:val="none"/>
            </w:rPr>
            <w:t>第三章 投标人须知</w:t>
          </w:r>
          <w:r>
            <w:rPr>
              <w:rFonts w:hint="eastAsia" w:ascii="宋体" w:hAnsi="宋体" w:cs="宋体"/>
              <w:b/>
              <w:sz w:val="24"/>
              <w:szCs w:val="24"/>
              <w:highlight w:val="none"/>
            </w:rPr>
            <w:tab/>
          </w:r>
          <w:r>
            <w:rPr>
              <w:rFonts w:hint="eastAsia" w:ascii="宋体" w:hAnsi="宋体" w:cs="宋体"/>
              <w:b/>
              <w:sz w:val="24"/>
              <w:szCs w:val="24"/>
              <w:highlight w:val="none"/>
            </w:rPr>
            <w:fldChar w:fldCharType="begin"/>
          </w:r>
          <w:r>
            <w:rPr>
              <w:rFonts w:hint="eastAsia" w:ascii="宋体" w:hAnsi="宋体" w:cs="宋体"/>
              <w:b/>
              <w:sz w:val="24"/>
              <w:szCs w:val="24"/>
              <w:highlight w:val="none"/>
            </w:rPr>
            <w:instrText xml:space="preserve"> PAGEREF _Toc10846 </w:instrText>
          </w:r>
          <w:r>
            <w:rPr>
              <w:rFonts w:hint="eastAsia" w:ascii="宋体" w:hAnsi="宋体" w:cs="宋体"/>
              <w:b/>
              <w:sz w:val="24"/>
              <w:szCs w:val="24"/>
              <w:highlight w:val="none"/>
            </w:rPr>
            <w:fldChar w:fldCharType="separate"/>
          </w:r>
          <w:r>
            <w:rPr>
              <w:rFonts w:ascii="宋体" w:hAnsi="宋体" w:cs="宋体"/>
              <w:b/>
              <w:sz w:val="24"/>
              <w:szCs w:val="24"/>
              <w:highlight w:val="none"/>
            </w:rPr>
            <w:t>9</w:t>
          </w:r>
          <w:r>
            <w:rPr>
              <w:rFonts w:hint="eastAsia" w:ascii="宋体" w:hAnsi="宋体" w:cs="宋体"/>
              <w:b/>
              <w:sz w:val="24"/>
              <w:szCs w:val="24"/>
              <w:highlight w:val="none"/>
            </w:rPr>
            <w:fldChar w:fldCharType="end"/>
          </w:r>
          <w:r>
            <w:rPr>
              <w:rFonts w:hint="eastAsia" w:ascii="宋体" w:hAnsi="宋体" w:cs="宋体"/>
              <w:b/>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"_Toc16361" </w:instrText>
          </w:r>
          <w:r>
            <w:rPr>
              <w:highlight w:val="none"/>
            </w:rPr>
            <w:fldChar w:fldCharType="separate"/>
          </w:r>
          <w:r>
            <w:rPr>
              <w:rFonts w:hint="eastAsia" w:ascii="宋体" w:hAnsi="宋体" w:cs="宋体"/>
              <w:sz w:val="24"/>
              <w:szCs w:val="24"/>
              <w:highlight w:val="none"/>
            </w:rPr>
            <w:t>一、总则</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_Toc16361 </w:instrText>
          </w:r>
          <w:r>
            <w:rPr>
              <w:rFonts w:hint="eastAsia" w:ascii="宋体" w:hAnsi="宋体" w:cs="宋体"/>
              <w:sz w:val="24"/>
              <w:szCs w:val="24"/>
              <w:highlight w:val="none"/>
            </w:rPr>
            <w:fldChar w:fldCharType="separate"/>
          </w:r>
          <w:r>
            <w:rPr>
              <w:rFonts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"_Toc21442" </w:instrText>
          </w:r>
          <w:r>
            <w:rPr>
              <w:highlight w:val="none"/>
            </w:rPr>
            <w:fldChar w:fldCharType="separate"/>
          </w:r>
          <w:r>
            <w:rPr>
              <w:rFonts w:hint="eastAsia" w:ascii="宋体" w:hAnsi="宋体" w:cs="宋体"/>
              <w:sz w:val="24"/>
              <w:szCs w:val="24"/>
              <w:highlight w:val="none"/>
            </w:rPr>
            <w:t>二、投标人</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_Toc21442 </w:instrText>
          </w:r>
          <w:r>
            <w:rPr>
              <w:rFonts w:hint="eastAsia" w:ascii="宋体" w:hAnsi="宋体" w:cs="宋体"/>
              <w:sz w:val="24"/>
              <w:szCs w:val="24"/>
              <w:highlight w:val="none"/>
            </w:rPr>
            <w:fldChar w:fldCharType="separate"/>
          </w:r>
          <w:r>
            <w:rPr>
              <w:rFonts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"_Toc16117" </w:instrText>
          </w:r>
          <w:r>
            <w:rPr>
              <w:highlight w:val="none"/>
            </w:rPr>
            <w:fldChar w:fldCharType="separate"/>
          </w:r>
          <w:r>
            <w:rPr>
              <w:rFonts w:hint="eastAsia" w:ascii="宋体" w:hAnsi="宋体" w:cs="宋体"/>
              <w:sz w:val="24"/>
              <w:szCs w:val="24"/>
              <w:highlight w:val="none"/>
            </w:rPr>
            <w:t>三、招标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_Toc16117 </w:instrText>
          </w:r>
          <w:r>
            <w:rPr>
              <w:rFonts w:hint="eastAsia" w:ascii="宋体" w:hAnsi="宋体" w:cs="宋体"/>
              <w:sz w:val="24"/>
              <w:szCs w:val="24"/>
              <w:highlight w:val="none"/>
            </w:rPr>
            <w:fldChar w:fldCharType="separate"/>
          </w:r>
          <w:r>
            <w:rPr>
              <w:rFonts w:ascii="宋体" w:hAnsi="宋体" w:cs="宋体"/>
              <w:sz w:val="24"/>
              <w:szCs w:val="24"/>
              <w:highlight w:val="none"/>
            </w:rPr>
            <w:t>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"_Toc23698" </w:instrText>
          </w:r>
          <w:r>
            <w:rPr>
              <w:highlight w:val="none"/>
            </w:rPr>
            <w:fldChar w:fldCharType="separate"/>
          </w:r>
          <w:r>
            <w:rPr>
              <w:rFonts w:hint="eastAsia" w:ascii="宋体" w:hAnsi="宋体" w:cs="宋体"/>
              <w:sz w:val="24"/>
              <w:szCs w:val="24"/>
              <w:highlight w:val="none"/>
            </w:rPr>
            <w:t>四、投标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_Toc23698 </w:instrText>
          </w:r>
          <w:r>
            <w:rPr>
              <w:rFonts w:hint="eastAsia" w:ascii="宋体" w:hAnsi="宋体" w:cs="宋体"/>
              <w:sz w:val="24"/>
              <w:szCs w:val="24"/>
              <w:highlight w:val="none"/>
            </w:rPr>
            <w:fldChar w:fldCharType="separate"/>
          </w:r>
          <w:r>
            <w:rPr>
              <w:rFonts w:ascii="宋体" w:hAnsi="宋体" w:cs="宋体"/>
              <w:sz w:val="24"/>
              <w:szCs w:val="24"/>
              <w:highlight w:val="none"/>
            </w:rPr>
            <w:t>10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"_Toc11212" </w:instrText>
          </w:r>
          <w:r>
            <w:rPr>
              <w:highlight w:val="none"/>
            </w:rPr>
            <w:fldChar w:fldCharType="separate"/>
          </w:r>
          <w:r>
            <w:rPr>
              <w:rFonts w:hint="eastAsia" w:ascii="宋体" w:hAnsi="宋体" w:cs="宋体"/>
              <w:sz w:val="24"/>
              <w:szCs w:val="24"/>
              <w:highlight w:val="none"/>
            </w:rPr>
            <w:t>五、开标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_Toc11212 </w:instrText>
          </w:r>
          <w:r>
            <w:rPr>
              <w:rFonts w:hint="eastAsia" w:ascii="宋体" w:hAnsi="宋体" w:cs="宋体"/>
              <w:sz w:val="24"/>
              <w:szCs w:val="24"/>
              <w:highlight w:val="none"/>
            </w:rPr>
            <w:fldChar w:fldCharType="separate"/>
          </w:r>
          <w:r>
            <w:rPr>
              <w:rFonts w:ascii="宋体" w:hAnsi="宋体" w:cs="宋体"/>
              <w:sz w:val="24"/>
              <w:szCs w:val="24"/>
              <w:highlight w:val="none"/>
            </w:rPr>
            <w:t>14</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"_Toc13537" </w:instrText>
          </w:r>
          <w:r>
            <w:rPr>
              <w:highlight w:val="none"/>
            </w:rPr>
            <w:fldChar w:fldCharType="separate"/>
          </w:r>
          <w:r>
            <w:rPr>
              <w:rFonts w:hint="eastAsia" w:ascii="宋体" w:hAnsi="宋体" w:cs="宋体"/>
              <w:sz w:val="24"/>
              <w:szCs w:val="24"/>
              <w:highlight w:val="none"/>
            </w:rPr>
            <w:t>六、中标与采购合同</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_Toc13537 </w:instrText>
          </w:r>
          <w:r>
            <w:rPr>
              <w:rFonts w:hint="eastAsia" w:ascii="宋体" w:hAnsi="宋体" w:cs="宋体"/>
              <w:sz w:val="24"/>
              <w:szCs w:val="24"/>
              <w:highlight w:val="none"/>
            </w:rPr>
            <w:fldChar w:fldCharType="separate"/>
          </w:r>
          <w:r>
            <w:rPr>
              <w:rFonts w:ascii="宋体" w:hAnsi="宋体" w:cs="宋体"/>
              <w:sz w:val="24"/>
              <w:szCs w:val="24"/>
              <w:highlight w:val="none"/>
            </w:rPr>
            <w:t>15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"_Toc10376" </w:instrText>
          </w:r>
          <w:r>
            <w:rPr>
              <w:highlight w:val="none"/>
            </w:rPr>
            <w:fldChar w:fldCharType="separate"/>
          </w:r>
          <w:r>
            <w:rPr>
              <w:rFonts w:hint="eastAsia" w:ascii="宋体" w:hAnsi="宋体" w:cs="宋体"/>
              <w:sz w:val="24"/>
              <w:szCs w:val="24"/>
              <w:highlight w:val="none"/>
            </w:rPr>
            <w:t>七、询问、质疑与投诉</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_Toc10376 </w:instrText>
          </w:r>
          <w:r>
            <w:rPr>
              <w:rFonts w:hint="eastAsia" w:ascii="宋体" w:hAnsi="宋体" w:cs="宋体"/>
              <w:sz w:val="24"/>
              <w:szCs w:val="24"/>
              <w:highlight w:val="none"/>
            </w:rPr>
            <w:fldChar w:fldCharType="separate"/>
          </w:r>
          <w:r>
            <w:rPr>
              <w:rFonts w:ascii="宋体" w:hAnsi="宋体" w:cs="宋体"/>
              <w:sz w:val="24"/>
              <w:szCs w:val="24"/>
              <w:highlight w:val="none"/>
            </w:rPr>
            <w:t>16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"_Toc1872" </w:instrText>
          </w:r>
          <w:r>
            <w:rPr>
              <w:highlight w:val="none"/>
            </w:rPr>
            <w:fldChar w:fldCharType="separate"/>
          </w:r>
          <w:r>
            <w:rPr>
              <w:rFonts w:hint="eastAsia" w:ascii="宋体" w:hAnsi="宋体" w:cs="宋体"/>
              <w:sz w:val="24"/>
              <w:szCs w:val="24"/>
              <w:highlight w:val="none"/>
            </w:rPr>
            <w:t>八、本项目的有关信息</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_Toc1872 </w:instrText>
          </w:r>
          <w:r>
            <w:rPr>
              <w:rFonts w:hint="eastAsia" w:ascii="宋体" w:hAnsi="宋体" w:cs="宋体"/>
              <w:sz w:val="24"/>
              <w:szCs w:val="24"/>
              <w:highlight w:val="none"/>
            </w:rPr>
            <w:fldChar w:fldCharType="separate"/>
          </w:r>
          <w:r>
            <w:rPr>
              <w:rFonts w:ascii="宋体" w:hAnsi="宋体" w:cs="宋体"/>
              <w:sz w:val="24"/>
              <w:szCs w:val="24"/>
              <w:highlight w:val="none"/>
            </w:rPr>
            <w:t>17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"_Toc19062" </w:instrText>
          </w:r>
          <w:r>
            <w:rPr>
              <w:highlight w:val="none"/>
            </w:rPr>
            <w:fldChar w:fldCharType="separate"/>
          </w:r>
          <w:r>
            <w:rPr>
              <w:rFonts w:hint="eastAsia" w:ascii="宋体" w:hAnsi="宋体" w:cs="宋体"/>
              <w:sz w:val="24"/>
              <w:szCs w:val="24"/>
              <w:highlight w:val="none"/>
            </w:rPr>
            <w:t>九、其他事项</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_Toc19062 </w:instrText>
          </w:r>
          <w:r>
            <w:rPr>
              <w:rFonts w:hint="eastAsia" w:ascii="宋体" w:hAnsi="宋体" w:cs="宋体"/>
              <w:sz w:val="24"/>
              <w:szCs w:val="24"/>
              <w:highlight w:val="none"/>
            </w:rPr>
            <w:fldChar w:fldCharType="separate"/>
          </w:r>
          <w:r>
            <w:rPr>
              <w:rFonts w:ascii="宋体" w:hAnsi="宋体" w:cs="宋体"/>
              <w:sz w:val="24"/>
              <w:szCs w:val="24"/>
              <w:highlight w:val="none"/>
            </w:rPr>
            <w:t>18</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6"/>
            <w:tabs>
              <w:tab w:val="right" w:leader="dot" w:pos="9243"/>
            </w:tabs>
            <w:rPr>
              <w:rFonts w:ascii="宋体" w:hAnsi="宋体" w:cs="宋体"/>
              <w:b/>
              <w:sz w:val="24"/>
              <w:szCs w:val="24"/>
              <w:highlight w:val="none"/>
            </w:rPr>
          </w:pPr>
          <w:r>
            <w:rPr>
              <w:highlight w:val="none"/>
            </w:rPr>
            <w:fldChar w:fldCharType="begin"/>
          </w:r>
          <w:r>
            <w:rPr>
              <w:highlight w:val="none"/>
            </w:rPr>
            <w:instrText xml:space="preserve"> HYPERLINK \l "_Toc31866" </w:instrText>
          </w:r>
          <w:r>
            <w:rPr>
              <w:highlight w:val="none"/>
            </w:rPr>
            <w:fldChar w:fldCharType="separate"/>
          </w:r>
          <w:r>
            <w:rPr>
              <w:rFonts w:hint="eastAsia" w:ascii="宋体" w:hAnsi="宋体" w:cs="宋体"/>
              <w:b/>
              <w:sz w:val="24"/>
              <w:szCs w:val="24"/>
              <w:highlight w:val="none"/>
            </w:rPr>
            <w:t>第四章 资格审查与评标</w:t>
          </w:r>
          <w:r>
            <w:rPr>
              <w:rFonts w:hint="eastAsia" w:ascii="宋体" w:hAnsi="宋体" w:cs="宋体"/>
              <w:b/>
              <w:sz w:val="24"/>
              <w:szCs w:val="24"/>
              <w:highlight w:val="none"/>
            </w:rPr>
            <w:tab/>
          </w:r>
          <w:r>
            <w:rPr>
              <w:rFonts w:hint="eastAsia" w:ascii="宋体" w:hAnsi="宋体" w:cs="宋体"/>
              <w:b/>
              <w:sz w:val="24"/>
              <w:szCs w:val="24"/>
              <w:highlight w:val="none"/>
            </w:rPr>
            <w:fldChar w:fldCharType="begin"/>
          </w:r>
          <w:r>
            <w:rPr>
              <w:rFonts w:hint="eastAsia" w:ascii="宋体" w:hAnsi="宋体" w:cs="宋体"/>
              <w:b/>
              <w:sz w:val="24"/>
              <w:szCs w:val="24"/>
              <w:highlight w:val="none"/>
            </w:rPr>
            <w:instrText xml:space="preserve"> PAGEREF _Toc31866 </w:instrText>
          </w:r>
          <w:r>
            <w:rPr>
              <w:rFonts w:hint="eastAsia" w:ascii="宋体" w:hAnsi="宋体" w:cs="宋体"/>
              <w:b/>
              <w:sz w:val="24"/>
              <w:szCs w:val="24"/>
              <w:highlight w:val="none"/>
            </w:rPr>
            <w:fldChar w:fldCharType="separate"/>
          </w:r>
          <w:r>
            <w:rPr>
              <w:rFonts w:ascii="宋体" w:hAnsi="宋体" w:cs="宋体"/>
              <w:b/>
              <w:sz w:val="24"/>
              <w:szCs w:val="24"/>
              <w:highlight w:val="none"/>
            </w:rPr>
            <w:t>19</w:t>
          </w:r>
          <w:r>
            <w:rPr>
              <w:rFonts w:hint="eastAsia" w:ascii="宋体" w:hAnsi="宋体" w:cs="宋体"/>
              <w:b/>
              <w:sz w:val="24"/>
              <w:szCs w:val="24"/>
              <w:highlight w:val="none"/>
            </w:rPr>
            <w:fldChar w:fldCharType="end"/>
          </w:r>
          <w:r>
            <w:rPr>
              <w:rFonts w:hint="eastAsia" w:ascii="宋体" w:hAnsi="宋体" w:cs="宋体"/>
              <w:b/>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"_Toc26167" </w:instrText>
          </w:r>
          <w:r>
            <w:rPr>
              <w:highlight w:val="none"/>
            </w:rPr>
            <w:fldChar w:fldCharType="separate"/>
          </w:r>
          <w:r>
            <w:rPr>
              <w:rFonts w:hint="eastAsia" w:ascii="宋体" w:hAnsi="宋体" w:cs="宋体"/>
              <w:sz w:val="24"/>
              <w:szCs w:val="24"/>
              <w:highlight w:val="none"/>
            </w:rPr>
            <w:t>一、资格审查</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_Toc26167 </w:instrText>
          </w:r>
          <w:r>
            <w:rPr>
              <w:rFonts w:hint="eastAsia" w:ascii="宋体" w:hAnsi="宋体" w:cs="宋体"/>
              <w:sz w:val="24"/>
              <w:szCs w:val="24"/>
              <w:highlight w:val="none"/>
            </w:rPr>
            <w:fldChar w:fldCharType="separate"/>
          </w:r>
          <w:r>
            <w:rPr>
              <w:rFonts w:ascii="宋体" w:hAnsi="宋体" w:cs="宋体"/>
              <w:sz w:val="24"/>
              <w:szCs w:val="24"/>
              <w:highlight w:val="none"/>
            </w:rPr>
            <w:t>19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"_Toc4878" </w:instrText>
          </w:r>
          <w:r>
            <w:rPr>
              <w:highlight w:val="none"/>
            </w:rPr>
            <w:fldChar w:fldCharType="separate"/>
          </w:r>
          <w:r>
            <w:rPr>
              <w:rFonts w:hint="eastAsia" w:ascii="宋体" w:hAnsi="宋体" w:cs="宋体"/>
              <w:sz w:val="24"/>
              <w:szCs w:val="24"/>
              <w:highlight w:val="none"/>
            </w:rPr>
            <w:t>二、评标</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_Toc4878 </w:instrText>
          </w:r>
          <w:r>
            <w:rPr>
              <w:rFonts w:hint="eastAsia" w:ascii="宋体" w:hAnsi="宋体" w:cs="宋体"/>
              <w:sz w:val="24"/>
              <w:szCs w:val="24"/>
              <w:highlight w:val="none"/>
            </w:rPr>
            <w:fldChar w:fldCharType="separate"/>
          </w:r>
          <w:r>
            <w:rPr>
              <w:rFonts w:ascii="宋体" w:hAnsi="宋体" w:cs="宋体"/>
              <w:sz w:val="24"/>
              <w:szCs w:val="24"/>
              <w:highlight w:val="none"/>
            </w:rPr>
            <w:t>20</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6"/>
            <w:tabs>
              <w:tab w:val="right" w:leader="dot" w:pos="9243"/>
            </w:tabs>
            <w:rPr>
              <w:rFonts w:ascii="宋体" w:hAnsi="宋体" w:cs="宋体"/>
              <w:b/>
              <w:sz w:val="24"/>
              <w:szCs w:val="24"/>
              <w:highlight w:val="none"/>
            </w:rPr>
          </w:pPr>
          <w:r>
            <w:rPr>
              <w:highlight w:val="none"/>
            </w:rPr>
            <w:fldChar w:fldCharType="begin"/>
          </w:r>
          <w:r>
            <w:rPr>
              <w:highlight w:val="none"/>
            </w:rPr>
            <w:instrText xml:space="preserve"> HYPERLINK \l "_Toc21011" </w:instrText>
          </w:r>
          <w:r>
            <w:rPr>
              <w:highlight w:val="none"/>
            </w:rPr>
            <w:fldChar w:fldCharType="separate"/>
          </w:r>
          <w:r>
            <w:rPr>
              <w:rFonts w:hint="eastAsia" w:ascii="宋体" w:hAnsi="宋体" w:cs="宋体"/>
              <w:b/>
              <w:sz w:val="24"/>
              <w:szCs w:val="24"/>
              <w:highlight w:val="none"/>
            </w:rPr>
            <w:t xml:space="preserve">第五章  </w:t>
          </w:r>
          <w:r>
            <w:rPr>
              <w:rFonts w:hint="eastAsia" w:ascii="宋体" w:hAnsi="宋体" w:cs="宋体"/>
              <w:b/>
              <w:bCs/>
              <w:sz w:val="24"/>
              <w:szCs w:val="24"/>
              <w:highlight w:val="none"/>
            </w:rPr>
            <w:t>招标内容及要求</w:t>
          </w:r>
          <w:r>
            <w:rPr>
              <w:rFonts w:hint="eastAsia" w:ascii="宋体" w:hAnsi="宋体" w:cs="宋体"/>
              <w:b/>
              <w:sz w:val="24"/>
              <w:szCs w:val="24"/>
              <w:highlight w:val="none"/>
            </w:rPr>
            <w:tab/>
          </w:r>
          <w:r>
            <w:rPr>
              <w:rFonts w:hint="eastAsia" w:ascii="宋体" w:hAnsi="宋体" w:cs="宋体"/>
              <w:b/>
              <w:sz w:val="24"/>
              <w:szCs w:val="24"/>
              <w:highlight w:val="none"/>
            </w:rPr>
            <w:fldChar w:fldCharType="begin"/>
          </w:r>
          <w:r>
            <w:rPr>
              <w:rFonts w:hint="eastAsia" w:ascii="宋体" w:hAnsi="宋体" w:cs="宋体"/>
              <w:b/>
              <w:sz w:val="24"/>
              <w:szCs w:val="24"/>
              <w:highlight w:val="none"/>
            </w:rPr>
            <w:instrText xml:space="preserve"> PAGEREF _Toc21011 </w:instrText>
          </w:r>
          <w:r>
            <w:rPr>
              <w:rFonts w:hint="eastAsia" w:ascii="宋体" w:hAnsi="宋体" w:cs="宋体"/>
              <w:b/>
              <w:sz w:val="24"/>
              <w:szCs w:val="24"/>
              <w:highlight w:val="none"/>
            </w:rPr>
            <w:fldChar w:fldCharType="separate"/>
          </w:r>
          <w:r>
            <w:rPr>
              <w:rFonts w:ascii="宋体" w:hAnsi="宋体" w:cs="宋体"/>
              <w:b/>
              <w:sz w:val="24"/>
              <w:szCs w:val="24"/>
              <w:highlight w:val="none"/>
            </w:rPr>
            <w:t>29</w:t>
          </w:r>
          <w:r>
            <w:rPr>
              <w:rFonts w:hint="eastAsia" w:ascii="宋体" w:hAnsi="宋体" w:cs="宋体"/>
              <w:b/>
              <w:sz w:val="24"/>
              <w:szCs w:val="24"/>
              <w:highlight w:val="none"/>
            </w:rPr>
            <w:fldChar w:fldCharType="end"/>
          </w:r>
          <w:r>
            <w:rPr>
              <w:rFonts w:hint="eastAsia" w:ascii="宋体" w:hAnsi="宋体" w:cs="宋体"/>
              <w:b/>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"_Toc31066" </w:instrText>
          </w:r>
          <w:r>
            <w:rPr>
              <w:highlight w:val="none"/>
            </w:rPr>
            <w:fldChar w:fldCharType="separate"/>
          </w:r>
          <w:r>
            <w:rPr>
              <w:rFonts w:hint="eastAsia" w:ascii="宋体" w:hAnsi="宋体" w:cs="宋体"/>
              <w:sz w:val="24"/>
              <w:szCs w:val="24"/>
              <w:highlight w:val="none"/>
            </w:rPr>
            <w:t>一、工程量清单</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_Toc31066 </w:instrText>
          </w:r>
          <w:r>
            <w:rPr>
              <w:rFonts w:hint="eastAsia" w:ascii="宋体" w:hAnsi="宋体" w:cs="宋体"/>
              <w:sz w:val="24"/>
              <w:szCs w:val="24"/>
              <w:highlight w:val="none"/>
            </w:rPr>
            <w:fldChar w:fldCharType="separate"/>
          </w:r>
          <w:r>
            <w:rPr>
              <w:rFonts w:ascii="宋体" w:hAnsi="宋体" w:cs="宋体"/>
              <w:sz w:val="24"/>
              <w:szCs w:val="24"/>
              <w:highlight w:val="none"/>
            </w:rPr>
            <w:t>29</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"_Toc30641" </w:instrText>
          </w:r>
          <w:r>
            <w:rPr>
              <w:highlight w:val="none"/>
            </w:rPr>
            <w:fldChar w:fldCharType="separate"/>
          </w:r>
          <w:r>
            <w:rPr>
              <w:rFonts w:hint="eastAsia" w:ascii="宋体" w:hAnsi="宋体" w:cs="宋体"/>
              <w:sz w:val="24"/>
              <w:szCs w:val="24"/>
              <w:highlight w:val="none"/>
            </w:rPr>
            <w:t>二、一般技术要求</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_Toc30641 </w:instrText>
          </w:r>
          <w:r>
            <w:rPr>
              <w:rFonts w:hint="eastAsia" w:ascii="宋体" w:hAnsi="宋体" w:cs="宋体"/>
              <w:sz w:val="24"/>
              <w:szCs w:val="24"/>
              <w:highlight w:val="none"/>
            </w:rPr>
            <w:fldChar w:fldCharType="separate"/>
          </w:r>
          <w:r>
            <w:rPr>
              <w:rFonts w:ascii="宋体" w:hAnsi="宋体" w:cs="宋体"/>
              <w:sz w:val="24"/>
              <w:szCs w:val="24"/>
              <w:highlight w:val="none"/>
            </w:rPr>
            <w:t>84</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"_Toc31894" </w:instrText>
          </w:r>
          <w:r>
            <w:rPr>
              <w:highlight w:val="none"/>
            </w:rPr>
            <w:fldChar w:fldCharType="separate"/>
          </w:r>
          <w:r>
            <w:rPr>
              <w:rFonts w:hint="eastAsia" w:ascii="宋体" w:hAnsi="宋体" w:cs="宋体"/>
              <w:sz w:val="24"/>
              <w:szCs w:val="24"/>
              <w:highlight w:val="none"/>
            </w:rPr>
            <w:t>三、特殊技术要求</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_Toc31894 </w:instrText>
          </w:r>
          <w:r>
            <w:rPr>
              <w:rFonts w:hint="eastAsia" w:ascii="宋体" w:hAnsi="宋体" w:cs="宋体"/>
              <w:sz w:val="24"/>
              <w:szCs w:val="24"/>
              <w:highlight w:val="none"/>
            </w:rPr>
            <w:fldChar w:fldCharType="separate"/>
          </w:r>
          <w:r>
            <w:rPr>
              <w:rFonts w:ascii="宋体" w:hAnsi="宋体" w:cs="宋体"/>
              <w:sz w:val="24"/>
              <w:szCs w:val="24"/>
              <w:highlight w:val="none"/>
            </w:rPr>
            <w:t>97</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"_Toc6358" </w:instrText>
          </w:r>
          <w:r>
            <w:rPr>
              <w:highlight w:val="none"/>
            </w:rPr>
            <w:fldChar w:fldCharType="separate"/>
          </w:r>
          <w:r>
            <w:rPr>
              <w:rFonts w:hint="eastAsia" w:ascii="宋体" w:hAnsi="宋体" w:cs="宋体"/>
              <w:sz w:val="24"/>
              <w:szCs w:val="24"/>
              <w:highlight w:val="none"/>
            </w:rPr>
            <w:t>四、注意事项</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_Toc6358 </w:instrText>
          </w:r>
          <w:r>
            <w:rPr>
              <w:rFonts w:hint="eastAsia" w:ascii="宋体" w:hAnsi="宋体" w:cs="宋体"/>
              <w:sz w:val="24"/>
              <w:szCs w:val="24"/>
              <w:highlight w:val="none"/>
            </w:rPr>
            <w:fldChar w:fldCharType="separate"/>
          </w:r>
          <w:r>
            <w:rPr>
              <w:rFonts w:ascii="宋体" w:hAnsi="宋体" w:cs="宋体"/>
              <w:sz w:val="24"/>
              <w:szCs w:val="24"/>
              <w:highlight w:val="none"/>
            </w:rPr>
            <w:t>142</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"_Toc825" </w:instrText>
          </w:r>
          <w:r>
            <w:rPr>
              <w:highlight w:val="none"/>
            </w:rPr>
            <w:fldChar w:fldCharType="separate"/>
          </w:r>
          <w:r>
            <w:rPr>
              <w:rFonts w:hint="eastAsia" w:ascii="宋体" w:hAnsi="宋体" w:cs="宋体"/>
              <w:sz w:val="24"/>
              <w:szCs w:val="24"/>
              <w:highlight w:val="none"/>
            </w:rPr>
            <w:t>五、项目安装及调试</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_Toc825 </w:instrText>
          </w:r>
          <w:r>
            <w:rPr>
              <w:rFonts w:hint="eastAsia" w:ascii="宋体" w:hAnsi="宋体" w:cs="宋体"/>
              <w:sz w:val="24"/>
              <w:szCs w:val="24"/>
              <w:highlight w:val="none"/>
            </w:rPr>
            <w:fldChar w:fldCharType="separate"/>
          </w:r>
          <w:r>
            <w:rPr>
              <w:rFonts w:ascii="宋体" w:hAnsi="宋体" w:cs="宋体"/>
              <w:sz w:val="24"/>
              <w:szCs w:val="24"/>
              <w:highlight w:val="none"/>
            </w:rPr>
            <w:t>143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"_Toc1754" </w:instrText>
          </w:r>
          <w:r>
            <w:rPr>
              <w:highlight w:val="none"/>
            </w:rPr>
            <w:fldChar w:fldCharType="separate"/>
          </w:r>
          <w:r>
            <w:rPr>
              <w:rFonts w:hint="eastAsia" w:ascii="宋体" w:hAnsi="宋体" w:cs="宋体"/>
              <w:sz w:val="24"/>
              <w:szCs w:val="24"/>
              <w:highlight w:val="none"/>
            </w:rPr>
            <w:t>六、施工要求</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_Toc1754 </w:instrText>
          </w:r>
          <w:r>
            <w:rPr>
              <w:rFonts w:hint="eastAsia" w:ascii="宋体" w:hAnsi="宋体" w:cs="宋体"/>
              <w:sz w:val="24"/>
              <w:szCs w:val="24"/>
              <w:highlight w:val="none"/>
            </w:rPr>
            <w:fldChar w:fldCharType="separate"/>
          </w:r>
          <w:r>
            <w:rPr>
              <w:rFonts w:ascii="宋体" w:hAnsi="宋体" w:cs="宋体"/>
              <w:sz w:val="24"/>
              <w:szCs w:val="24"/>
              <w:highlight w:val="none"/>
            </w:rPr>
            <w:t>143</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"_Toc29450" </w:instrText>
          </w:r>
          <w:r>
            <w:rPr>
              <w:highlight w:val="none"/>
            </w:rPr>
            <w:fldChar w:fldCharType="separate"/>
          </w:r>
          <w:r>
            <w:rPr>
              <w:rFonts w:hint="eastAsia" w:ascii="宋体" w:hAnsi="宋体" w:cs="宋体"/>
              <w:sz w:val="24"/>
              <w:szCs w:val="24"/>
              <w:highlight w:val="none"/>
            </w:rPr>
            <w:t>七、验收</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_Toc29450 </w:instrText>
          </w:r>
          <w:r>
            <w:rPr>
              <w:rFonts w:hint="eastAsia" w:ascii="宋体" w:hAnsi="宋体" w:cs="宋体"/>
              <w:sz w:val="24"/>
              <w:szCs w:val="24"/>
              <w:highlight w:val="none"/>
            </w:rPr>
            <w:fldChar w:fldCharType="separate"/>
          </w:r>
          <w:r>
            <w:rPr>
              <w:rFonts w:ascii="宋体" w:hAnsi="宋体" w:cs="宋体"/>
              <w:sz w:val="24"/>
              <w:szCs w:val="24"/>
              <w:highlight w:val="none"/>
            </w:rPr>
            <w:t>144</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"_Toc19180" </w:instrText>
          </w:r>
          <w:r>
            <w:rPr>
              <w:highlight w:val="none"/>
            </w:rPr>
            <w:fldChar w:fldCharType="separate"/>
          </w:r>
          <w:r>
            <w:rPr>
              <w:rFonts w:hint="eastAsia" w:ascii="宋体" w:hAnsi="宋体" w:cs="宋体"/>
              <w:sz w:val="24"/>
              <w:szCs w:val="24"/>
              <w:highlight w:val="none"/>
            </w:rPr>
            <w:t>八、服务要求</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_Toc19180 </w:instrText>
          </w:r>
          <w:r>
            <w:rPr>
              <w:rFonts w:hint="eastAsia" w:ascii="宋体" w:hAnsi="宋体" w:cs="宋体"/>
              <w:sz w:val="24"/>
              <w:szCs w:val="24"/>
              <w:highlight w:val="none"/>
            </w:rPr>
            <w:fldChar w:fldCharType="separate"/>
          </w:r>
          <w:r>
            <w:rPr>
              <w:rFonts w:ascii="宋体" w:hAnsi="宋体" w:cs="宋体"/>
              <w:sz w:val="24"/>
              <w:szCs w:val="24"/>
              <w:highlight w:val="none"/>
            </w:rPr>
            <w:t>145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"_Toc10465" </w:instrText>
          </w:r>
          <w:r>
            <w:rPr>
              <w:highlight w:val="none"/>
            </w:rPr>
            <w:fldChar w:fldCharType="separate"/>
          </w:r>
          <w:r>
            <w:rPr>
              <w:rFonts w:hint="eastAsia" w:ascii="宋体" w:hAnsi="宋体" w:cs="宋体"/>
              <w:sz w:val="24"/>
              <w:szCs w:val="24"/>
              <w:highlight w:val="none"/>
            </w:rPr>
            <w:t>九、违约责任</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_Toc10465 </w:instrText>
          </w:r>
          <w:r>
            <w:rPr>
              <w:rFonts w:hint="eastAsia" w:ascii="宋体" w:hAnsi="宋体" w:cs="宋体"/>
              <w:sz w:val="24"/>
              <w:szCs w:val="24"/>
              <w:highlight w:val="none"/>
            </w:rPr>
            <w:fldChar w:fldCharType="separate"/>
          </w:r>
          <w:r>
            <w:rPr>
              <w:rFonts w:ascii="宋体" w:hAnsi="宋体" w:cs="宋体"/>
              <w:sz w:val="24"/>
              <w:szCs w:val="24"/>
              <w:highlight w:val="none"/>
            </w:rPr>
            <w:t>145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"_Toc28004" </w:instrText>
          </w:r>
          <w:r>
            <w:rPr>
              <w:highlight w:val="none"/>
            </w:rPr>
            <w:fldChar w:fldCharType="separate"/>
          </w:r>
          <w:r>
            <w:rPr>
              <w:rFonts w:hint="eastAsia" w:ascii="宋体" w:hAnsi="宋体" w:cs="宋体"/>
              <w:sz w:val="24"/>
              <w:szCs w:val="24"/>
              <w:highlight w:val="none"/>
            </w:rPr>
            <w:t>十、其他</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_Toc28004 </w:instrText>
          </w:r>
          <w:r>
            <w:rPr>
              <w:rFonts w:hint="eastAsia" w:ascii="宋体" w:hAnsi="宋体" w:cs="宋体"/>
              <w:sz w:val="24"/>
              <w:szCs w:val="24"/>
              <w:highlight w:val="none"/>
            </w:rPr>
            <w:fldChar w:fldCharType="separate"/>
          </w:r>
          <w:r>
            <w:rPr>
              <w:rFonts w:ascii="宋体" w:hAnsi="宋体" w:cs="宋体"/>
              <w:sz w:val="24"/>
              <w:szCs w:val="24"/>
              <w:highlight w:val="none"/>
            </w:rPr>
            <w:t>145</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"_Toc5926" </w:instrText>
          </w:r>
          <w:r>
            <w:rPr>
              <w:highlight w:val="none"/>
            </w:rPr>
            <w:fldChar w:fldCharType="separate"/>
          </w:r>
          <w:r>
            <w:rPr>
              <w:rFonts w:hint="eastAsia" w:ascii="宋体" w:hAnsi="宋体" w:cs="宋体"/>
              <w:sz w:val="24"/>
              <w:szCs w:val="24"/>
              <w:highlight w:val="none"/>
            </w:rPr>
            <w:t>十一、现场勘查</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_Toc5926 </w:instrText>
          </w:r>
          <w:r>
            <w:rPr>
              <w:rFonts w:hint="eastAsia" w:ascii="宋体" w:hAnsi="宋体" w:cs="宋体"/>
              <w:sz w:val="24"/>
              <w:szCs w:val="24"/>
              <w:highlight w:val="none"/>
            </w:rPr>
            <w:fldChar w:fldCharType="separate"/>
          </w:r>
          <w:r>
            <w:rPr>
              <w:rFonts w:ascii="宋体" w:hAnsi="宋体" w:cs="宋体"/>
              <w:sz w:val="24"/>
              <w:szCs w:val="24"/>
              <w:highlight w:val="none"/>
            </w:rPr>
            <w:t>146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7"/>
            <w:tabs>
              <w:tab w:val="right" w:leader="dot" w:pos="9243"/>
            </w:tabs>
            <w:ind w:left="420"/>
            <w:rPr>
              <w:rFonts w:ascii="宋体" w:hAnsi="宋体" w:cs="宋体"/>
              <w:sz w:val="24"/>
              <w:szCs w:val="24"/>
              <w:highlight w:val="none"/>
            </w:rPr>
          </w:pPr>
          <w:r>
            <w:rPr>
              <w:highlight w:val="none"/>
            </w:rPr>
            <w:fldChar w:fldCharType="begin"/>
          </w:r>
          <w:r>
            <w:rPr>
              <w:highlight w:val="none"/>
            </w:rPr>
            <w:instrText xml:space="preserve"> HYPERLINK \l "_Toc15535" </w:instrText>
          </w:r>
          <w:r>
            <w:rPr>
              <w:highlight w:val="none"/>
            </w:rPr>
            <w:fldChar w:fldCharType="separate"/>
          </w:r>
          <w:r>
            <w:rPr>
              <w:rFonts w:hint="eastAsia" w:ascii="宋体" w:hAnsi="宋体" w:cs="宋体"/>
              <w:sz w:val="24"/>
              <w:szCs w:val="24"/>
              <w:highlight w:val="none"/>
            </w:rPr>
            <w:t>十二、商务条件</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_Toc15535 </w:instrText>
          </w:r>
          <w:r>
            <w:rPr>
              <w:rFonts w:hint="eastAsia" w:ascii="宋体" w:hAnsi="宋体" w:cs="宋体"/>
              <w:sz w:val="24"/>
              <w:szCs w:val="24"/>
              <w:highlight w:val="none"/>
            </w:rPr>
            <w:fldChar w:fldCharType="separate"/>
          </w:r>
          <w:r>
            <w:rPr>
              <w:rFonts w:ascii="宋体" w:hAnsi="宋体" w:cs="宋体"/>
              <w:sz w:val="24"/>
              <w:szCs w:val="24"/>
              <w:highlight w:val="none"/>
            </w:rPr>
            <w:t>146</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66"/>
            <w:tabs>
              <w:tab w:val="right" w:leader="dot" w:pos="9243"/>
            </w:tabs>
            <w:rPr>
              <w:rFonts w:ascii="宋体" w:hAnsi="宋体" w:cs="宋体"/>
              <w:b/>
              <w:sz w:val="24"/>
              <w:szCs w:val="24"/>
              <w:highlight w:val="none"/>
            </w:rPr>
          </w:pPr>
          <w:r>
            <w:rPr>
              <w:highlight w:val="none"/>
            </w:rPr>
            <w:fldChar w:fldCharType="begin"/>
          </w:r>
          <w:r>
            <w:rPr>
              <w:highlight w:val="none"/>
            </w:rPr>
            <w:instrText xml:space="preserve"> HYPERLINK \l "_Toc2451" </w:instrText>
          </w:r>
          <w:r>
            <w:rPr>
              <w:highlight w:val="none"/>
            </w:rPr>
            <w:fldChar w:fldCharType="separate"/>
          </w:r>
          <w:r>
            <w:rPr>
              <w:rFonts w:hint="eastAsia" w:ascii="宋体" w:hAnsi="宋体" w:cs="宋体"/>
              <w:b/>
              <w:sz w:val="24"/>
              <w:szCs w:val="24"/>
              <w:highlight w:val="none"/>
            </w:rPr>
            <w:t>第六章</w:t>
          </w:r>
          <w:r>
            <w:rPr>
              <w:rFonts w:hint="eastAsia" w:ascii="宋体" w:hAnsi="宋体" w:cs="宋体"/>
              <w:b/>
              <w:bCs/>
              <w:sz w:val="24"/>
              <w:szCs w:val="24"/>
              <w:highlight w:val="none"/>
            </w:rPr>
            <w:t xml:space="preserve">  </w:t>
          </w:r>
          <w:r>
            <w:rPr>
              <w:rFonts w:hint="eastAsia" w:ascii="宋体" w:hAnsi="宋体" w:cs="宋体"/>
              <w:b/>
              <w:sz w:val="24"/>
              <w:szCs w:val="24"/>
              <w:highlight w:val="none"/>
            </w:rPr>
            <w:t>采购合同（参考文本）</w:t>
          </w:r>
          <w:r>
            <w:rPr>
              <w:rFonts w:hint="eastAsia" w:ascii="宋体" w:hAnsi="宋体" w:cs="宋体"/>
              <w:b/>
              <w:sz w:val="24"/>
              <w:szCs w:val="24"/>
              <w:highlight w:val="none"/>
            </w:rPr>
            <w:tab/>
          </w:r>
          <w:r>
            <w:rPr>
              <w:rFonts w:hint="eastAsia" w:ascii="宋体" w:hAnsi="宋体" w:cs="宋体"/>
              <w:b/>
              <w:sz w:val="24"/>
              <w:szCs w:val="24"/>
              <w:highlight w:val="none"/>
            </w:rPr>
            <w:fldChar w:fldCharType="begin"/>
          </w:r>
          <w:r>
            <w:rPr>
              <w:rFonts w:hint="eastAsia" w:ascii="宋体" w:hAnsi="宋体" w:cs="宋体"/>
              <w:b/>
              <w:sz w:val="24"/>
              <w:szCs w:val="24"/>
              <w:highlight w:val="none"/>
            </w:rPr>
            <w:instrText xml:space="preserve"> PAGEREF _Toc2451 </w:instrText>
          </w:r>
          <w:r>
            <w:rPr>
              <w:rFonts w:hint="eastAsia" w:ascii="宋体" w:hAnsi="宋体" w:cs="宋体"/>
              <w:b/>
              <w:sz w:val="24"/>
              <w:szCs w:val="24"/>
              <w:highlight w:val="none"/>
            </w:rPr>
            <w:fldChar w:fldCharType="separate"/>
          </w:r>
          <w:r>
            <w:rPr>
              <w:rFonts w:ascii="宋体" w:hAnsi="宋体" w:cs="宋体"/>
              <w:b/>
              <w:sz w:val="24"/>
              <w:szCs w:val="24"/>
              <w:highlight w:val="none"/>
            </w:rPr>
            <w:t>148</w:t>
          </w:r>
          <w:r>
            <w:rPr>
              <w:rFonts w:hint="eastAsia" w:ascii="宋体" w:hAnsi="宋体" w:cs="宋体"/>
              <w:b/>
              <w:sz w:val="24"/>
              <w:szCs w:val="24"/>
              <w:highlight w:val="none"/>
            </w:rPr>
            <w:fldChar w:fldCharType="end"/>
          </w:r>
          <w:r>
            <w:rPr>
              <w:rFonts w:hint="eastAsia" w:ascii="宋体" w:hAnsi="宋体" w:cs="宋体"/>
              <w:b/>
              <w:sz w:val="24"/>
              <w:szCs w:val="24"/>
              <w:highlight w:val="none"/>
            </w:rPr>
            <w:fldChar w:fldCharType="end"/>
          </w:r>
        </w:p>
        <w:p>
          <w:pPr>
            <w:pStyle w:val="166"/>
            <w:tabs>
              <w:tab w:val="right" w:leader="dot" w:pos="9243"/>
            </w:tabs>
            <w:rPr>
              <w:b/>
              <w:sz w:val="21"/>
              <w:szCs w:val="21"/>
              <w:highlight w:val="none"/>
            </w:rPr>
          </w:pPr>
          <w:r>
            <w:rPr>
              <w:highlight w:val="none"/>
            </w:rPr>
            <w:fldChar w:fldCharType="begin"/>
          </w:r>
          <w:r>
            <w:rPr>
              <w:highlight w:val="none"/>
            </w:rPr>
            <w:instrText xml:space="preserve"> HYPERLINK \l "_Toc14495" </w:instrText>
          </w:r>
          <w:r>
            <w:rPr>
              <w:highlight w:val="none"/>
            </w:rPr>
            <w:fldChar w:fldCharType="separate"/>
          </w:r>
          <w:r>
            <w:rPr>
              <w:rFonts w:hint="eastAsia" w:ascii="宋体" w:hAnsi="宋体" w:cs="宋体"/>
              <w:b/>
              <w:bCs/>
              <w:sz w:val="24"/>
              <w:szCs w:val="24"/>
              <w:highlight w:val="none"/>
            </w:rPr>
            <w:t>第七章  投标文件格式</w:t>
          </w:r>
          <w:r>
            <w:rPr>
              <w:rFonts w:hint="eastAsia" w:ascii="宋体" w:hAnsi="宋体" w:cs="宋体"/>
              <w:b/>
              <w:sz w:val="24"/>
              <w:szCs w:val="24"/>
              <w:highlight w:val="none"/>
            </w:rPr>
            <w:tab/>
          </w:r>
          <w:r>
            <w:rPr>
              <w:rFonts w:hint="eastAsia" w:ascii="宋体" w:hAnsi="宋体" w:cs="宋体"/>
              <w:b/>
              <w:sz w:val="24"/>
              <w:szCs w:val="24"/>
              <w:highlight w:val="none"/>
            </w:rPr>
            <w:fldChar w:fldCharType="begin"/>
          </w:r>
          <w:r>
            <w:rPr>
              <w:rFonts w:hint="eastAsia" w:ascii="宋体" w:hAnsi="宋体" w:cs="宋体"/>
              <w:b/>
              <w:sz w:val="24"/>
              <w:szCs w:val="24"/>
              <w:highlight w:val="none"/>
            </w:rPr>
            <w:instrText xml:space="preserve"> PAGEREF _Toc14495 </w:instrText>
          </w:r>
          <w:r>
            <w:rPr>
              <w:rFonts w:hint="eastAsia" w:ascii="宋体" w:hAnsi="宋体" w:cs="宋体"/>
              <w:b/>
              <w:sz w:val="24"/>
              <w:szCs w:val="24"/>
              <w:highlight w:val="none"/>
            </w:rPr>
            <w:fldChar w:fldCharType="separate"/>
          </w:r>
          <w:r>
            <w:rPr>
              <w:rFonts w:ascii="宋体" w:hAnsi="宋体" w:cs="宋体"/>
              <w:b/>
              <w:sz w:val="24"/>
              <w:szCs w:val="24"/>
              <w:highlight w:val="none"/>
            </w:rPr>
            <w:t>152</w:t>
          </w:r>
          <w:r>
            <w:rPr>
              <w:rFonts w:hint="eastAsia" w:ascii="宋体" w:hAnsi="宋体" w:cs="宋体"/>
              <w:b/>
              <w:sz w:val="24"/>
              <w:szCs w:val="24"/>
              <w:highlight w:val="none"/>
            </w:rPr>
            <w:fldChar w:fldCharType="end"/>
          </w:r>
          <w:r>
            <w:rPr>
              <w:rFonts w:hint="eastAsia" w:ascii="宋体" w:hAnsi="宋体" w:cs="宋体"/>
              <w:b/>
              <w:sz w:val="24"/>
              <w:szCs w:val="24"/>
              <w:highlight w:val="none"/>
            </w:rPr>
            <w:fldChar w:fldCharType="end"/>
          </w:r>
        </w:p>
        <w:p>
          <w:pPr>
            <w:pStyle w:val="166"/>
            <w:tabs>
              <w:tab w:val="right" w:leader="dot" w:pos="9243"/>
            </w:tabs>
            <w:rPr>
              <w:b/>
              <w:sz w:val="21"/>
              <w:szCs w:val="21"/>
              <w:highlight w:val="none"/>
            </w:rPr>
          </w:pPr>
        </w:p>
        <w:p>
          <w:pPr>
            <w:rPr>
              <w:highlight w:val="none"/>
            </w:rPr>
          </w:pPr>
          <w:r>
            <w:rPr>
              <w:b/>
              <w:szCs w:val="21"/>
              <w:highlight w:val="none"/>
            </w:rPr>
            <w:fldChar w:fldCharType="end"/>
          </w:r>
        </w:p>
      </w:sdtContent>
    </w:sdt>
    <w:p>
      <w:pPr>
        <w:pStyle w:val="6"/>
        <w:snapToGrid w:val="0"/>
        <w:spacing w:line="360" w:lineRule="auto"/>
        <w:ind w:firstLine="0"/>
        <w:rPr>
          <w:rFonts w:ascii="宋体" w:hAnsi="宋体" w:cs="宋体"/>
          <w:sz w:val="24"/>
          <w:highlight w:val="none"/>
        </w:rPr>
      </w:pPr>
      <w:r>
        <w:rPr>
          <w:rFonts w:hint="eastAsia" w:ascii="宋体" w:hAnsi="宋体" w:cs="宋体"/>
          <w:sz w:val="24"/>
          <w:highlight w:val="none"/>
        </w:rPr>
        <w:t xml:space="preserve"> </w:t>
      </w:r>
    </w:p>
    <w:p>
      <w:pPr>
        <w:rPr>
          <w:highlight w:val="none"/>
        </w:rPr>
      </w:pPr>
    </w:p>
    <w:p>
      <w:pPr>
        <w:rPr>
          <w:highlight w:val="none"/>
        </w:rPr>
      </w:pPr>
    </w:p>
    <w:p>
      <w:pPr>
        <w:spacing w:line="360" w:lineRule="auto"/>
        <w:rPr>
          <w:rFonts w:ascii="宋体" w:hAnsi="宋体" w:cs="宋体"/>
          <w:sz w:val="24"/>
          <w:highlight w:val="none"/>
        </w:rPr>
      </w:pPr>
      <w:r>
        <w:rPr>
          <w:rFonts w:hint="eastAsia" w:ascii="宋体" w:hAnsi="宋体" w:cs="宋体"/>
          <w:sz w:val="24"/>
          <w:highlight w:val="none"/>
        </w:rPr>
        <w:t>注：本招标文件共168页（含封面），请投标人领取招标文件时核对，如发现缺、损等情况，自领取招标文件之日起两日内向福建中福天缘工程造价咨询有限公司提出，否则，由此造成的一切后果由投标人自负。</w:t>
      </w:r>
    </w:p>
    <w:p>
      <w:pPr>
        <w:pStyle w:val="3"/>
        <w:rPr>
          <w:rFonts w:ascii="宋体" w:hAnsi="宋体" w:cs="宋体"/>
          <w:highlight w:val="none"/>
        </w:rPr>
      </w:pPr>
    </w:p>
    <w:p>
      <w:pPr>
        <w:pStyle w:val="3"/>
        <w:rPr>
          <w:rFonts w:ascii="宋体" w:hAnsi="宋体" w:cs="宋体"/>
          <w:highlight w:val="none"/>
        </w:rPr>
      </w:pPr>
    </w:p>
    <w:p>
      <w:pPr>
        <w:pStyle w:val="46"/>
        <w:numPr>
          <w:ilvl w:val="0"/>
          <w:numId w:val="6"/>
        </w:numPr>
        <w:ind w:left="3254"/>
        <w:jc w:val="both"/>
        <w:outlineLvl w:val="0"/>
        <w:rPr>
          <w:rFonts w:hAnsi="宋体" w:cs="宋体"/>
          <w:b/>
          <w:color w:val="auto"/>
          <w:sz w:val="36"/>
          <w:highlight w:val="none"/>
        </w:rPr>
      </w:pPr>
      <w:r>
        <w:rPr>
          <w:rFonts w:hint="eastAsia" w:hAnsi="宋体" w:cs="宋体"/>
          <w:b/>
          <w:color w:val="auto"/>
          <w:sz w:val="36"/>
          <w:highlight w:val="none"/>
        </w:rPr>
        <w:t xml:space="preserve"> </w:t>
      </w:r>
      <w:bookmarkStart w:id="7" w:name="_Toc19548"/>
      <w:bookmarkStart w:id="8" w:name="_Toc40254087"/>
      <w:r>
        <w:rPr>
          <w:rFonts w:hint="eastAsia" w:hAnsi="宋体" w:cs="宋体"/>
          <w:b/>
          <w:color w:val="auto"/>
          <w:sz w:val="36"/>
          <w:highlight w:val="none"/>
        </w:rPr>
        <w:t>投标邀请</w:t>
      </w:r>
      <w:bookmarkEnd w:id="7"/>
      <w:bookmarkEnd w:id="8"/>
    </w:p>
    <w:p>
      <w:pPr>
        <w:pStyle w:val="46"/>
        <w:ind w:left="3252"/>
        <w:jc w:val="both"/>
        <w:rPr>
          <w:rFonts w:hAnsi="宋体" w:cs="宋体"/>
          <w:b/>
          <w:color w:val="auto"/>
          <w:sz w:val="36"/>
          <w:highlight w:val="none"/>
        </w:rPr>
      </w:pP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本公司受永安市自来水公司的委托，就其所需的永安市石墨和石墨烯产业园园区水厂技术提升改造工程设备采购与安装项目进行公开招标，</w:t>
      </w:r>
      <w:r>
        <w:rPr>
          <w:rFonts w:hint="eastAsia" w:ascii="宋体" w:hAnsi="宋体"/>
          <w:sz w:val="24"/>
          <w:highlight w:val="none"/>
        </w:rPr>
        <w:t>欢迎符合条件的供应商参加投标。</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1.招标编号：ZFTY2020-YA008#　</w:t>
      </w:r>
    </w:p>
    <w:p>
      <w:pPr>
        <w:tabs>
          <w:tab w:val="center" w:pos="900"/>
          <w:tab w:val="center" w:pos="1080"/>
        </w:tabs>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2.招标项目内容: 永安市石墨和石墨烯产业园园区水厂技术提升改造工程设备采购与安装项目</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50"/>
        <w:gridCol w:w="1612"/>
        <w:gridCol w:w="1283"/>
        <w:gridCol w:w="1485"/>
        <w:gridCol w:w="877"/>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2025"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s="宋体"/>
                <w:sz w:val="24"/>
                <w:szCs w:val="24"/>
                <w:highlight w:val="none"/>
              </w:rPr>
            </w:pPr>
            <w:r>
              <w:rPr>
                <w:rFonts w:hint="eastAsia" w:hAnsi="宋体" w:cs="宋体"/>
                <w:sz w:val="24"/>
                <w:szCs w:val="24"/>
                <w:highlight w:val="none"/>
              </w:rPr>
              <w:t>项目名称</w:t>
            </w:r>
          </w:p>
        </w:tc>
        <w:tc>
          <w:tcPr>
            <w:tcW w:w="75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s="宋体"/>
                <w:sz w:val="24"/>
                <w:szCs w:val="24"/>
                <w:highlight w:val="none"/>
              </w:rPr>
            </w:pPr>
            <w:r>
              <w:rPr>
                <w:rFonts w:hint="eastAsia" w:hAnsi="宋体" w:cs="宋体"/>
                <w:sz w:val="24"/>
                <w:szCs w:val="24"/>
                <w:highlight w:val="none"/>
              </w:rPr>
              <w:t>数量</w:t>
            </w:r>
          </w:p>
        </w:tc>
        <w:tc>
          <w:tcPr>
            <w:tcW w:w="1612"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s="宋体"/>
                <w:sz w:val="24"/>
                <w:szCs w:val="24"/>
                <w:highlight w:val="none"/>
              </w:rPr>
            </w:pPr>
            <w:r>
              <w:rPr>
                <w:rFonts w:hint="eastAsia" w:hAnsi="宋体" w:cs="宋体"/>
                <w:sz w:val="24"/>
                <w:szCs w:val="24"/>
                <w:highlight w:val="none"/>
              </w:rPr>
              <w:t>预算价</w:t>
            </w:r>
          </w:p>
        </w:tc>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s="宋体"/>
                <w:sz w:val="24"/>
                <w:szCs w:val="24"/>
                <w:highlight w:val="none"/>
              </w:rPr>
            </w:pPr>
            <w:r>
              <w:rPr>
                <w:rFonts w:hint="eastAsia" w:hAnsi="宋体" w:cs="宋体"/>
                <w:sz w:val="24"/>
                <w:szCs w:val="24"/>
                <w:highlight w:val="none"/>
              </w:rPr>
              <w:t>主要技术规格</w:t>
            </w:r>
          </w:p>
        </w:tc>
        <w:tc>
          <w:tcPr>
            <w:tcW w:w="1485"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s="宋体"/>
                <w:sz w:val="24"/>
                <w:szCs w:val="24"/>
                <w:highlight w:val="none"/>
              </w:rPr>
            </w:pPr>
            <w:r>
              <w:rPr>
                <w:rFonts w:hint="eastAsia" w:hAnsi="宋体" w:cs="宋体"/>
                <w:sz w:val="24"/>
                <w:szCs w:val="24"/>
                <w:highlight w:val="none"/>
              </w:rPr>
              <w:t>采购单位</w:t>
            </w:r>
          </w:p>
        </w:tc>
        <w:tc>
          <w:tcPr>
            <w:tcW w:w="87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s="宋体"/>
                <w:sz w:val="24"/>
                <w:szCs w:val="24"/>
                <w:highlight w:val="none"/>
              </w:rPr>
            </w:pPr>
            <w:r>
              <w:rPr>
                <w:rFonts w:hint="eastAsia" w:hAnsi="宋体" w:cs="宋体"/>
                <w:sz w:val="24"/>
                <w:szCs w:val="24"/>
                <w:highlight w:val="none"/>
              </w:rPr>
              <w:t>联系人</w:t>
            </w:r>
          </w:p>
        </w:tc>
        <w:tc>
          <w:tcPr>
            <w:tcW w:w="1734"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s="宋体"/>
                <w:sz w:val="24"/>
                <w:szCs w:val="24"/>
                <w:highlight w:val="none"/>
              </w:rPr>
            </w:pPr>
            <w:r>
              <w:rPr>
                <w:rFonts w:hint="eastAsia" w:hAnsi="宋体" w:cs="宋体"/>
                <w:sz w:val="24"/>
                <w:szCs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2" w:hRule="atLeast"/>
          <w:jc w:val="center"/>
        </w:trPr>
        <w:tc>
          <w:tcPr>
            <w:tcW w:w="2025" w:type="dxa"/>
            <w:tcBorders>
              <w:top w:val="single" w:color="auto" w:sz="4" w:space="0"/>
              <w:left w:val="single" w:color="auto" w:sz="2" w:space="0"/>
              <w:bottom w:val="single" w:color="auto" w:sz="4" w:space="0"/>
              <w:right w:val="single" w:color="auto" w:sz="4" w:space="0"/>
            </w:tcBorders>
            <w:vAlign w:val="center"/>
          </w:tcPr>
          <w:p>
            <w:pPr>
              <w:tabs>
                <w:tab w:val="center" w:pos="900"/>
                <w:tab w:val="center" w:pos="1080"/>
              </w:tabs>
              <w:jc w:val="center"/>
              <w:rPr>
                <w:rFonts w:ascii="宋体" w:hAnsi="宋体" w:cs="宋体"/>
                <w:sz w:val="24"/>
                <w:highlight w:val="none"/>
              </w:rPr>
            </w:pPr>
            <w:r>
              <w:rPr>
                <w:rFonts w:hint="eastAsia" w:ascii="宋体" w:hAnsi="宋体" w:cs="宋体"/>
                <w:sz w:val="24"/>
                <w:highlight w:val="none"/>
              </w:rPr>
              <w:t>永安市石墨和石墨烯产业园园区水厂技术提升改造工程设备采购与安装项目</w:t>
            </w:r>
          </w:p>
        </w:tc>
        <w:tc>
          <w:tcPr>
            <w:tcW w:w="75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s="宋体"/>
                <w:sz w:val="24"/>
                <w:szCs w:val="24"/>
                <w:highlight w:val="none"/>
              </w:rPr>
            </w:pPr>
            <w:r>
              <w:rPr>
                <w:rFonts w:hint="eastAsia" w:hAnsi="宋体" w:cs="宋体"/>
                <w:sz w:val="24"/>
                <w:szCs w:val="24"/>
                <w:highlight w:val="none"/>
              </w:rPr>
              <w:t>壹批</w:t>
            </w:r>
          </w:p>
        </w:tc>
        <w:tc>
          <w:tcPr>
            <w:tcW w:w="1612" w:type="dxa"/>
            <w:tcBorders>
              <w:left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color w:val="auto"/>
                <w:sz w:val="24"/>
                <w:highlight w:val="none"/>
              </w:rPr>
              <w:t>3867142元</w:t>
            </w:r>
          </w:p>
        </w:tc>
        <w:tc>
          <w:tcPr>
            <w:tcW w:w="1283" w:type="dxa"/>
            <w:tcBorders>
              <w:left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详见标书</w:t>
            </w:r>
          </w:p>
        </w:tc>
        <w:tc>
          <w:tcPr>
            <w:tcW w:w="1485" w:type="dxa"/>
            <w:tcBorders>
              <w:left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永安市自来水公司</w:t>
            </w:r>
          </w:p>
        </w:tc>
        <w:tc>
          <w:tcPr>
            <w:tcW w:w="877" w:type="dxa"/>
            <w:tcBorders>
              <w:left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杨工</w:t>
            </w:r>
          </w:p>
        </w:tc>
        <w:tc>
          <w:tcPr>
            <w:tcW w:w="1734" w:type="dxa"/>
            <w:tcBorders>
              <w:left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18760298650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9766" w:type="dxa"/>
            <w:gridSpan w:val="7"/>
            <w:tcBorders>
              <w:top w:val="single" w:color="auto" w:sz="4" w:space="0"/>
              <w:left w:val="single" w:color="auto" w:sz="2"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注：投标人的投标报价超过预算价的为无效报价</w:t>
            </w:r>
          </w:p>
        </w:tc>
      </w:tr>
    </w:tbl>
    <w:p>
      <w:pPr>
        <w:tabs>
          <w:tab w:val="center" w:pos="900"/>
          <w:tab w:val="center" w:pos="1080"/>
        </w:tabs>
        <w:spacing w:line="360" w:lineRule="auto"/>
        <w:ind w:firstLine="480" w:firstLineChars="200"/>
        <w:jc w:val="left"/>
        <w:rPr>
          <w:rFonts w:ascii="宋体" w:hAnsi="宋体" w:cs="宋体"/>
          <w:sz w:val="24"/>
          <w:highlight w:val="none"/>
        </w:rPr>
      </w:pPr>
    </w:p>
    <w:p>
      <w:pPr>
        <w:tabs>
          <w:tab w:val="center" w:pos="900"/>
          <w:tab w:val="center" w:pos="1080"/>
        </w:tabs>
        <w:spacing w:line="360" w:lineRule="auto"/>
        <w:ind w:firstLine="480" w:firstLineChars="200"/>
        <w:jc w:val="left"/>
        <w:rPr>
          <w:rFonts w:ascii="宋体" w:hAnsi="宋体" w:cs="宋体"/>
          <w:b/>
          <w:sz w:val="24"/>
          <w:highlight w:val="none"/>
        </w:rPr>
      </w:pPr>
      <w:r>
        <w:rPr>
          <w:rFonts w:hint="eastAsia" w:ascii="宋体" w:hAnsi="宋体" w:cs="宋体"/>
          <w:sz w:val="24"/>
          <w:highlight w:val="none"/>
        </w:rPr>
        <w:t>3.招标文件发售时间：</w:t>
      </w:r>
      <w:r>
        <w:rPr>
          <w:rFonts w:hint="eastAsia" w:ascii="宋体" w:hAnsi="宋体" w:cs="宋体"/>
          <w:bCs/>
          <w:sz w:val="24"/>
          <w:highlight w:val="none"/>
        </w:rPr>
        <w:t>符合条件的合格投标方可从从</w:t>
      </w:r>
      <w:r>
        <w:rPr>
          <w:rFonts w:hint="eastAsia" w:ascii="宋体" w:hAnsi="宋体" w:cs="宋体"/>
          <w:bCs/>
          <w:sz w:val="24"/>
          <w:highlight w:val="none"/>
        </w:rPr>
        <w:t>2020年月日</w:t>
      </w:r>
      <w:r>
        <w:rPr>
          <w:rFonts w:hint="eastAsia" w:ascii="宋体" w:hAnsi="宋体" w:cs="宋体"/>
          <w:bCs/>
          <w:sz w:val="24"/>
          <w:highlight w:val="none"/>
        </w:rPr>
        <w:t>起至</w:t>
      </w:r>
      <w:r>
        <w:rPr>
          <w:rFonts w:hint="eastAsia" w:ascii="宋体" w:hAnsi="宋体" w:cs="宋体"/>
          <w:bCs/>
          <w:sz w:val="24"/>
          <w:highlight w:val="none"/>
        </w:rPr>
        <w:t>2020年月日</w:t>
      </w:r>
      <w:r>
        <w:rPr>
          <w:rFonts w:hint="eastAsia" w:ascii="宋体" w:hAnsi="宋体" w:cs="宋体"/>
          <w:bCs/>
          <w:sz w:val="24"/>
          <w:highlight w:val="none"/>
        </w:rPr>
        <w:t>（节假日除外），每天8:30—12:00、14:30—17:30（北京时间）到</w:t>
      </w:r>
      <w:r>
        <w:rPr>
          <w:rFonts w:hint="eastAsia" w:ascii="宋体" w:hAnsi="宋体" w:cs="宋体"/>
          <w:sz w:val="24"/>
          <w:highlight w:val="none"/>
        </w:rPr>
        <w:t>福建中福天缘工程造价咨询有限公司</w:t>
      </w:r>
      <w:r>
        <w:rPr>
          <w:rFonts w:hint="eastAsia" w:ascii="宋体" w:hAnsi="宋体" w:cs="宋体"/>
          <w:bCs/>
          <w:sz w:val="24"/>
          <w:highlight w:val="none"/>
        </w:rPr>
        <w:t>登记并申请购买采购文件。逾期未购买采购文件的投标方视为放弃投标。</w:t>
      </w:r>
      <w:r>
        <w:rPr>
          <w:rFonts w:hint="eastAsia" w:ascii="宋体" w:hAnsi="宋体" w:cs="宋体"/>
          <w:b/>
          <w:sz w:val="24"/>
          <w:highlight w:val="none"/>
        </w:rPr>
        <w:t xml:space="preserve"> </w:t>
      </w:r>
    </w:p>
    <w:p>
      <w:pPr>
        <w:spacing w:line="360" w:lineRule="auto"/>
        <w:jc w:val="left"/>
        <w:rPr>
          <w:rFonts w:ascii="宋体" w:hAnsi="宋体" w:cs="宋体"/>
          <w:sz w:val="24"/>
          <w:highlight w:val="none"/>
        </w:rPr>
      </w:pPr>
      <w:r>
        <w:rPr>
          <w:rFonts w:hint="eastAsia" w:ascii="宋体" w:hAnsi="宋体" w:cs="宋体"/>
          <w:sz w:val="24"/>
          <w:highlight w:val="none"/>
        </w:rPr>
        <w:t>4.招标文件发售地点：福建中福天缘工程造价咨询有限公司（三明市梅列区乾龙新村17幢四层-梅列工商企业大厦4F）</w:t>
      </w:r>
    </w:p>
    <w:p>
      <w:pPr>
        <w:spacing w:line="360" w:lineRule="auto"/>
        <w:jc w:val="left"/>
        <w:rPr>
          <w:rFonts w:ascii="宋体" w:hAnsi="宋体" w:cs="宋体"/>
          <w:sz w:val="24"/>
          <w:highlight w:val="none"/>
        </w:rPr>
      </w:pPr>
      <w:r>
        <w:rPr>
          <w:rFonts w:hint="eastAsia" w:ascii="宋体" w:hAnsi="宋体" w:cs="宋体"/>
          <w:sz w:val="24"/>
          <w:highlight w:val="none"/>
        </w:rPr>
        <w:t>5. 联 系 人： 小熊  小李    0598-8255566    电子信箱 ：2293166767@qq.com</w:t>
      </w:r>
    </w:p>
    <w:p>
      <w:pPr>
        <w:tabs>
          <w:tab w:val="left" w:pos="720"/>
        </w:tabs>
        <w:spacing w:line="360" w:lineRule="auto"/>
        <w:jc w:val="left"/>
        <w:rPr>
          <w:rFonts w:ascii="宋体" w:hAnsi="宋体" w:cs="宋体"/>
          <w:sz w:val="24"/>
          <w:highlight w:val="none"/>
        </w:rPr>
      </w:pPr>
      <w:r>
        <w:rPr>
          <w:rFonts w:hint="eastAsia" w:ascii="宋体" w:hAnsi="宋体" w:cs="宋体"/>
          <w:sz w:val="24"/>
          <w:highlight w:val="none"/>
        </w:rPr>
        <w:t>6.</w:t>
      </w:r>
      <w:r>
        <w:rPr>
          <w:rFonts w:hint="eastAsia" w:ascii="宋体" w:hAnsi="宋体" w:cs="宋体"/>
          <w:b/>
          <w:sz w:val="24"/>
          <w:highlight w:val="none"/>
        </w:rPr>
        <w:t>投标人资格标准</w:t>
      </w:r>
      <w:r>
        <w:rPr>
          <w:rFonts w:hint="eastAsia" w:ascii="宋体" w:hAnsi="宋体" w:cs="宋体"/>
          <w:bCs/>
          <w:sz w:val="24"/>
          <w:highlight w:val="none"/>
        </w:rPr>
        <w:t>：</w:t>
      </w:r>
      <w:r>
        <w:rPr>
          <w:rFonts w:hint="eastAsia" w:ascii="宋体" w:hAnsi="宋体" w:cs="宋体"/>
          <w:sz w:val="24"/>
          <w:highlight w:val="none"/>
        </w:rPr>
        <w:t>符合本公开招标文件规定条件的供应商。</w:t>
      </w:r>
    </w:p>
    <w:p>
      <w:pPr>
        <w:tabs>
          <w:tab w:val="left" w:pos="720"/>
        </w:tabs>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1）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p>
      <w:pPr>
        <w:tabs>
          <w:tab w:val="left" w:pos="720"/>
        </w:tabs>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 xml:space="preserve">（2）投标人代表或授权代表参加投标时需随身携带本人身份证原件及身份证复印件，授权代表另需携带授权委托书； </w:t>
      </w:r>
    </w:p>
    <w:p>
      <w:pPr>
        <w:tabs>
          <w:tab w:val="left" w:pos="720"/>
        </w:tabs>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（3）投标人提供上一年度财务报表，至少包括“资产负债表、利润表、现金流量表”；</w:t>
      </w:r>
      <w:r>
        <w:rPr>
          <w:rFonts w:hint="eastAsia"/>
          <w:szCs w:val="21"/>
          <w:highlight w:val="none"/>
        </w:rPr>
        <w:t xml:space="preserve"> </w:t>
      </w:r>
      <w:r>
        <w:rPr>
          <w:rFonts w:hint="eastAsia" w:ascii="宋体" w:hAnsi="宋体" w:cs="宋体"/>
          <w:bCs/>
          <w:sz w:val="24"/>
          <w:highlight w:val="none"/>
        </w:rPr>
        <w:t>提供依法缴纳税收和社会保障资金的相关材料；</w:t>
      </w:r>
    </w:p>
    <w:p>
      <w:pPr>
        <w:tabs>
          <w:tab w:val="left" w:pos="720"/>
        </w:tabs>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（4）投标人具备履行本项目合同所必需的设备的和专业技术能力的书面声明函；</w:t>
      </w:r>
    </w:p>
    <w:p>
      <w:pPr>
        <w:tabs>
          <w:tab w:val="left" w:pos="720"/>
        </w:tabs>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5）投标方须提供参加政府采购活动前三年内，我方在经营活动中无严重违法失信行为信息记录、失信被执行人名录、企业经营异常名录、重大税收违法案件当事人名单、未被列为被告且无被执行案件、无行贿犯罪记录的书面声明。</w:t>
      </w:r>
    </w:p>
    <w:p>
      <w:pPr>
        <w:tabs>
          <w:tab w:val="left" w:pos="720"/>
        </w:tabs>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（6）投标人须提供本项目发布日期之后通过“信用中国”网站(www.creditchina.gov.cn)查询其上述信用记录的信用信息查询结果网页打印件或截图。</w:t>
      </w:r>
    </w:p>
    <w:p>
      <w:pPr>
        <w:pStyle w:val="2"/>
        <w:rPr>
          <w:rFonts w:ascii="宋体" w:hAnsi="宋体" w:cs="宋体"/>
          <w:bCs/>
          <w:sz w:val="24"/>
          <w:highlight w:val="none"/>
        </w:rPr>
      </w:pPr>
      <w:r>
        <w:rPr>
          <w:rFonts w:hint="eastAsia"/>
          <w:highlight w:val="none"/>
        </w:rPr>
        <w:t xml:space="preserve"> </w:t>
      </w:r>
      <w:r>
        <w:rPr>
          <w:highlight w:val="none"/>
        </w:rPr>
        <w:t xml:space="preserve">    </w:t>
      </w:r>
      <w:r>
        <w:rPr>
          <w:rFonts w:hint="eastAsia" w:ascii="宋体" w:hAnsi="宋体" w:cs="宋体"/>
          <w:bCs/>
          <w:sz w:val="24"/>
          <w:highlight w:val="none"/>
        </w:rPr>
        <w:t>(7)</w:t>
      </w:r>
      <w:r>
        <w:rPr>
          <w:rFonts w:hint="eastAsia"/>
          <w:b/>
          <w:sz w:val="21"/>
          <w:szCs w:val="21"/>
          <w:highlight w:val="none"/>
        </w:rPr>
        <w:t xml:space="preserve"> </w:t>
      </w:r>
      <w:r>
        <w:rPr>
          <w:rFonts w:hint="eastAsia" w:ascii="宋体" w:hAnsi="宋体" w:cs="宋体"/>
          <w:bCs/>
          <w:sz w:val="24"/>
          <w:highlight w:val="none"/>
        </w:rPr>
        <w:t>投标人必须具备电子与智能化工程专业承包二级或机电安装工程专业承包三级及以上资质证书；</w:t>
      </w:r>
    </w:p>
    <w:p>
      <w:pPr>
        <w:pStyle w:val="3"/>
        <w:ind w:firstLine="480"/>
        <w:rPr>
          <w:rFonts w:ascii="宋体" w:hAnsi="宋体" w:cs="宋体"/>
          <w:bCs/>
          <w:highlight w:val="none"/>
        </w:rPr>
      </w:pPr>
      <w:r>
        <w:rPr>
          <w:rFonts w:hint="eastAsia" w:ascii="宋体" w:hAnsi="宋体" w:cs="宋体"/>
          <w:bCs/>
          <w:highlight w:val="none"/>
        </w:rPr>
        <w:t>(8)</w:t>
      </w:r>
      <w:r>
        <w:rPr>
          <w:rFonts w:ascii="宋体" w:hAnsi="宋体" w:cs="宋体"/>
          <w:bCs/>
          <w:highlight w:val="none"/>
        </w:rPr>
        <w:t xml:space="preserve"> </w:t>
      </w:r>
      <w:r>
        <w:rPr>
          <w:rFonts w:hint="eastAsia" w:ascii="宋体" w:hAnsi="宋体" w:cs="宋体"/>
          <w:bCs/>
          <w:highlight w:val="none"/>
        </w:rPr>
        <w:t>本次招标不接受联合体投标；</w:t>
      </w:r>
    </w:p>
    <w:p>
      <w:pPr>
        <w:pStyle w:val="3"/>
        <w:ind w:firstLine="480" w:firstLineChars="200"/>
        <w:rPr>
          <w:rFonts w:ascii="宋体" w:hAnsi="宋体" w:cs="宋体"/>
          <w:bCs/>
          <w:highlight w:val="none"/>
        </w:rPr>
      </w:pPr>
      <w:r>
        <w:rPr>
          <w:rFonts w:hint="eastAsia" w:ascii="宋体" w:hAnsi="宋体" w:cs="宋体"/>
          <w:bCs/>
          <w:highlight w:val="none"/>
        </w:rPr>
        <w:t>（9）</w:t>
      </w:r>
      <w:r>
        <w:rPr>
          <w:rFonts w:ascii="宋体" w:hAnsi="宋体" w:cs="宋体"/>
          <w:kern w:val="0"/>
          <w:highlight w:val="none"/>
        </w:rPr>
        <w:t>检察机关行贿犯罪档案查询结果告知函</w:t>
      </w:r>
      <w:r>
        <w:rPr>
          <w:rFonts w:hint="eastAsia" w:ascii="宋体" w:hAnsi="宋体" w:cs="宋体"/>
          <w:kern w:val="0"/>
          <w:highlight w:val="none"/>
        </w:rPr>
        <w:t>：a.</w:t>
      </w:r>
      <w:r>
        <w:rPr>
          <w:rFonts w:ascii="宋体" w:hAnsi="宋体" w:cs="宋体"/>
          <w:kern w:val="0"/>
          <w:highlight w:val="none"/>
        </w:rPr>
        <w:t>未提供行贿犯罪档案查询结果或查询结果表明投标人有行贿犯罪记录的，投标无效。</w:t>
      </w:r>
      <w:r>
        <w:rPr>
          <w:rFonts w:hint="eastAsia" w:ascii="宋体" w:hAnsi="宋体" w:cs="宋体"/>
          <w:kern w:val="0"/>
          <w:highlight w:val="none"/>
        </w:rPr>
        <w:t>b.</w:t>
      </w:r>
      <w:r>
        <w:rPr>
          <w:rFonts w:ascii="宋体" w:hAnsi="宋体" w:cs="宋体"/>
          <w:kern w:val="0"/>
          <w:highlight w:val="none"/>
        </w:rPr>
        <w:t>无法提供有效期内检察机关行贿犯罪档案查询结果告知函的，也应对近三年无行贿犯罪记录进行声明。</w:t>
      </w:r>
      <w:r>
        <w:rPr>
          <w:rFonts w:hint="eastAsia" w:ascii="宋体" w:hAnsi="宋体" w:cs="宋体"/>
          <w:kern w:val="0"/>
          <w:highlight w:val="none"/>
        </w:rPr>
        <w:t>c.</w:t>
      </w:r>
      <w:r>
        <w:rPr>
          <w:rFonts w:ascii="宋体" w:hAnsi="宋体" w:cs="宋体"/>
          <w:kern w:val="0"/>
          <w:highlight w:val="none"/>
        </w:rPr>
        <w:t>告知函应在有效期内且内容完整、清晰、整洁，否则投标无效。</w:t>
      </w:r>
      <w:r>
        <w:rPr>
          <w:rFonts w:hint="eastAsia" w:ascii="宋体" w:hAnsi="宋体" w:cs="宋体"/>
          <w:kern w:val="0"/>
          <w:highlight w:val="none"/>
        </w:rPr>
        <w:t>d.</w:t>
      </w:r>
      <w:r>
        <w:rPr>
          <w:rFonts w:ascii="宋体" w:hAnsi="宋体" w:cs="宋体"/>
          <w:kern w:val="0"/>
          <w:highlight w:val="none"/>
        </w:rPr>
        <w:t>无法获取有效期内检察机关行贿犯罪档案查询结果告知函的，应在《参加采购活动前三年内在经营活动中没有重大违法记录书面声明》中对近三年无行贿犯罪记录进行声明。</w:t>
      </w:r>
    </w:p>
    <w:p>
      <w:pPr>
        <w:spacing w:line="440" w:lineRule="exact"/>
        <w:ind w:firstLine="480" w:firstLineChars="200"/>
        <w:rPr>
          <w:rFonts w:ascii="宋体" w:hAnsi="宋体" w:cs="宋体"/>
          <w:bCs/>
          <w:sz w:val="24"/>
          <w:highlight w:val="none"/>
        </w:rPr>
      </w:pPr>
      <w:r>
        <w:rPr>
          <w:rFonts w:hint="eastAsia" w:ascii="宋体" w:hAnsi="宋体" w:cs="宋体"/>
          <w:bCs/>
          <w:sz w:val="24"/>
          <w:highlight w:val="none"/>
        </w:rPr>
        <w:t>（备注：投标人应按本项目招标文件的具体要求提供有效的资格证明材料，所有复印件应是最新（有效）、清晰，注明“与原件一致”并加盖投标人公章。《投标人代表授权书》除投标文件中要体现外，开标现场还需随身携带一份《投标人代表授权书》。</w:t>
      </w:r>
    </w:p>
    <w:p>
      <w:pPr>
        <w:pStyle w:val="2"/>
        <w:rPr>
          <w:highlight w:val="none"/>
        </w:rPr>
      </w:pPr>
    </w:p>
    <w:p>
      <w:pPr>
        <w:tabs>
          <w:tab w:val="left" w:pos="720"/>
        </w:tabs>
        <w:spacing w:line="360" w:lineRule="auto"/>
        <w:jc w:val="left"/>
        <w:rPr>
          <w:rFonts w:ascii="宋体" w:hAnsi="宋体" w:cs="宋体"/>
          <w:b/>
          <w:kern w:val="0"/>
          <w:sz w:val="24"/>
          <w:highlight w:val="none"/>
        </w:rPr>
      </w:pPr>
      <w:r>
        <w:rPr>
          <w:rFonts w:hint="eastAsia" w:ascii="宋体" w:hAnsi="宋体" w:cs="宋体"/>
          <w:bCs/>
          <w:sz w:val="24"/>
          <w:highlight w:val="none"/>
        </w:rPr>
        <w:t>7.接受投标文件截止时间：(北京时间)</w:t>
      </w:r>
      <w:r>
        <w:rPr>
          <w:rFonts w:hint="eastAsia" w:ascii="宋体" w:hAnsi="宋体" w:cs="宋体"/>
          <w:bCs/>
          <w:sz w:val="24"/>
          <w:highlight w:val="none"/>
        </w:rPr>
        <w:t>2020年月日</w:t>
      </w:r>
      <w:r>
        <w:rPr>
          <w:rFonts w:hint="eastAsia" w:ascii="宋体" w:hAnsi="宋体" w:cs="宋体"/>
          <w:bCs/>
          <w:sz w:val="24"/>
          <w:highlight w:val="none"/>
        </w:rPr>
        <w:t xml:space="preserve"> 09:30</w:t>
      </w:r>
      <w:r>
        <w:rPr>
          <w:rFonts w:hint="eastAsia" w:ascii="宋体" w:hAnsi="宋体" w:cs="宋体"/>
          <w:sz w:val="24"/>
          <w:highlight w:val="none"/>
        </w:rPr>
        <w:t xml:space="preserve"> 。纸质投标文件密封后于投标截止时间之前派专人送达</w:t>
      </w:r>
      <w:r>
        <w:rPr>
          <w:rFonts w:hint="eastAsia" w:ascii="宋体" w:hAnsi="宋体" w:cs="宋体"/>
          <w:kern w:val="0"/>
          <w:sz w:val="24"/>
          <w:highlight w:val="none"/>
        </w:rPr>
        <w:t>。</w:t>
      </w:r>
      <w:r>
        <w:rPr>
          <w:rFonts w:hint="eastAsia" w:ascii="宋体" w:hAnsi="宋体" w:cs="宋体"/>
          <w:b/>
          <w:kern w:val="0"/>
          <w:sz w:val="24"/>
          <w:highlight w:val="none"/>
        </w:rPr>
        <w:t>逾期收到、不符合规定的投标文件将被拒绝投标。</w:t>
      </w:r>
    </w:p>
    <w:p>
      <w:pPr>
        <w:spacing w:line="360" w:lineRule="auto"/>
        <w:rPr>
          <w:rFonts w:ascii="宋体" w:hAnsi="宋体" w:cs="宋体"/>
          <w:sz w:val="24"/>
          <w:highlight w:val="none"/>
        </w:rPr>
      </w:pPr>
      <w:r>
        <w:rPr>
          <w:rFonts w:hint="eastAsia" w:ascii="宋体" w:hAnsi="宋体" w:cs="宋体"/>
          <w:sz w:val="24"/>
          <w:highlight w:val="none"/>
        </w:rPr>
        <w:t>8.开标时间：</w:t>
      </w:r>
      <w:r>
        <w:rPr>
          <w:rFonts w:hint="eastAsia" w:ascii="宋体" w:hAnsi="宋体" w:cs="宋体"/>
          <w:bCs/>
          <w:sz w:val="24"/>
          <w:highlight w:val="none"/>
        </w:rPr>
        <w:t>2020年月日</w:t>
      </w:r>
      <w:r>
        <w:rPr>
          <w:rFonts w:hint="eastAsia" w:ascii="宋体" w:hAnsi="宋体" w:cs="宋体"/>
          <w:bCs/>
          <w:sz w:val="24"/>
          <w:highlight w:val="none"/>
        </w:rPr>
        <w:t xml:space="preserve"> 09:30</w:t>
      </w:r>
      <w:r>
        <w:rPr>
          <w:rFonts w:hint="eastAsia" w:ascii="宋体" w:hAnsi="宋体" w:cs="宋体"/>
          <w:sz w:val="24"/>
          <w:highlight w:val="none"/>
        </w:rPr>
        <w:t>（北京时间）。</w:t>
      </w:r>
    </w:p>
    <w:p>
      <w:pPr>
        <w:spacing w:line="360" w:lineRule="auto"/>
        <w:rPr>
          <w:rFonts w:ascii="宋体" w:hAnsi="宋体" w:cs="宋体"/>
          <w:color w:val="0000FF"/>
          <w:sz w:val="24"/>
          <w:highlight w:val="none"/>
        </w:rPr>
      </w:pPr>
      <w:r>
        <w:rPr>
          <w:rFonts w:hint="eastAsia" w:ascii="宋体" w:hAnsi="宋体" w:cs="宋体"/>
          <w:sz w:val="24"/>
          <w:highlight w:val="none"/>
        </w:rPr>
        <w:t>9.开标地点：福建省三明市永安市南山路2号13栋三楼</w:t>
      </w:r>
    </w:p>
    <w:p>
      <w:pPr>
        <w:spacing w:line="360" w:lineRule="auto"/>
        <w:rPr>
          <w:rFonts w:ascii="宋体" w:hAnsi="宋体" w:cs="宋体"/>
          <w:sz w:val="24"/>
          <w:highlight w:val="none"/>
        </w:rPr>
      </w:pPr>
      <w:r>
        <w:rPr>
          <w:rFonts w:hint="eastAsia" w:ascii="宋体" w:hAnsi="宋体" w:cs="宋体"/>
          <w:sz w:val="24"/>
          <w:highlight w:val="none"/>
        </w:rPr>
        <w:t>10.标书售价及要求：</w:t>
      </w:r>
      <w:r>
        <w:rPr>
          <w:rFonts w:hint="eastAsia" w:ascii="宋体" w:hAnsi="宋体" w:cs="宋体"/>
          <w:bCs/>
          <w:sz w:val="24"/>
          <w:highlight w:val="none"/>
        </w:rPr>
        <w:t>招标文件纸质版或电子文档售价300元，邮寄另加50元，售后不退。</w:t>
      </w:r>
    </w:p>
    <w:p>
      <w:pPr>
        <w:tabs>
          <w:tab w:val="center" w:pos="900"/>
          <w:tab w:val="center" w:pos="1080"/>
        </w:tabs>
        <w:spacing w:line="360" w:lineRule="auto"/>
        <w:ind w:firstLine="480" w:firstLineChars="200"/>
        <w:rPr>
          <w:rFonts w:ascii="宋体" w:hAnsi="宋体" w:cs="宋体"/>
          <w:sz w:val="24"/>
          <w:highlight w:val="none"/>
        </w:rPr>
      </w:pPr>
      <w:r>
        <w:rPr>
          <w:rFonts w:hint="eastAsia" w:ascii="宋体" w:hAnsi="宋体" w:cs="宋体"/>
          <w:sz w:val="24"/>
          <w:highlight w:val="none"/>
        </w:rPr>
        <w:t>售标书及交投标保证金帐户：</w:t>
      </w:r>
    </w:p>
    <w:p>
      <w:pPr>
        <w:tabs>
          <w:tab w:val="center" w:pos="900"/>
          <w:tab w:val="center" w:pos="1080"/>
        </w:tabs>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户     名：福建中福天缘工程造价咨询有限公司三明分公司</w:t>
      </w:r>
    </w:p>
    <w:p>
      <w:pPr>
        <w:tabs>
          <w:tab w:val="center" w:pos="900"/>
          <w:tab w:val="center" w:pos="1080"/>
        </w:tabs>
        <w:spacing w:line="360" w:lineRule="auto"/>
        <w:ind w:firstLine="720" w:firstLineChars="300"/>
        <w:rPr>
          <w:rFonts w:ascii="宋体" w:hAnsi="宋体" w:cs="宋体"/>
          <w:sz w:val="24"/>
          <w:highlight w:val="none"/>
        </w:rPr>
      </w:pPr>
      <w:r>
        <w:rPr>
          <w:rFonts w:hint="eastAsia" w:ascii="宋体" w:hAnsi="宋体" w:cs="宋体"/>
          <w:sz w:val="24"/>
          <w:highlight w:val="none"/>
        </w:rPr>
        <w:t>开户银行：中国邮政储蓄银行股份有限公司三明市梅列区支行</w:t>
      </w:r>
    </w:p>
    <w:p>
      <w:pPr>
        <w:tabs>
          <w:tab w:val="center" w:pos="900"/>
          <w:tab w:val="center" w:pos="1080"/>
        </w:tabs>
        <w:spacing w:line="360" w:lineRule="auto"/>
        <w:ind w:firstLine="720" w:firstLineChars="300"/>
        <w:rPr>
          <w:rFonts w:ascii="宋体" w:hAnsi="宋体" w:cs="宋体"/>
          <w:sz w:val="24"/>
          <w:highlight w:val="none"/>
          <w:u w:val="single"/>
        </w:rPr>
      </w:pPr>
      <w:r>
        <w:rPr>
          <w:rFonts w:hint="eastAsia" w:ascii="宋体" w:hAnsi="宋体" w:cs="宋体"/>
          <w:sz w:val="24"/>
          <w:highlight w:val="none"/>
        </w:rPr>
        <w:t>账    号：935003010008080018</w:t>
      </w:r>
      <w:r>
        <w:rPr>
          <w:rFonts w:hint="eastAsia" w:ascii="宋体" w:hAnsi="宋体" w:cs="宋体"/>
          <w:sz w:val="24"/>
          <w:highlight w:val="none"/>
          <w:u w:val="single"/>
        </w:rPr>
        <w:t xml:space="preserve">     </w:t>
      </w:r>
      <w:bookmarkStart w:id="256" w:name="_GoBack"/>
      <w:bookmarkEnd w:id="256"/>
    </w:p>
    <w:p>
      <w:pPr>
        <w:tabs>
          <w:tab w:val="center" w:pos="900"/>
          <w:tab w:val="center" w:pos="1080"/>
        </w:tabs>
        <w:spacing w:line="360" w:lineRule="auto"/>
        <w:rPr>
          <w:rFonts w:ascii="宋体" w:hAnsi="宋体" w:cs="宋体"/>
          <w:sz w:val="24"/>
          <w:highlight w:val="none"/>
        </w:rPr>
      </w:pPr>
      <w:r>
        <w:rPr>
          <w:rFonts w:hint="eastAsia" w:ascii="宋体" w:hAnsi="宋体" w:cs="宋体"/>
          <w:sz w:val="24"/>
          <w:highlight w:val="none"/>
        </w:rPr>
        <w:t>11.以上如有变更，[福建中福天缘工程造价咨询有限公司]会通过福建省公共资源交易电子公共服务平台[https://ggzyfw.fujian.gov.cn/]进行通知，请投标人关注。</w:t>
      </w:r>
    </w:p>
    <w:p>
      <w:pPr>
        <w:spacing w:line="360" w:lineRule="auto"/>
        <w:rPr>
          <w:rFonts w:ascii="宋体" w:hAnsi="宋体" w:cs="宋体"/>
          <w:b/>
          <w:sz w:val="30"/>
          <w:szCs w:val="30"/>
          <w:highlight w:val="none"/>
        </w:rPr>
      </w:pPr>
    </w:p>
    <w:p>
      <w:pPr>
        <w:rPr>
          <w:highlight w:val="none"/>
        </w:rPr>
        <w:sectPr>
          <w:headerReference r:id="rId3" w:type="default"/>
          <w:footerReference r:id="rId4" w:type="default"/>
          <w:footerReference r:id="rId5" w:type="even"/>
          <w:pgSz w:w="11907" w:h="16840"/>
          <w:pgMar w:top="1440" w:right="1247" w:bottom="1440" w:left="1417" w:header="851" w:footer="992" w:gutter="0"/>
          <w:cols w:space="720" w:num="1"/>
          <w:titlePg/>
          <w:docGrid w:linePitch="323" w:charSpace="0"/>
        </w:sectPr>
      </w:pPr>
      <w:r>
        <w:rPr>
          <w:rFonts w:hint="eastAsia"/>
          <w:highlight w:val="none"/>
        </w:rPr>
        <w:t xml:space="preserve">                </w:t>
      </w:r>
      <w:bookmarkStart w:id="9" w:name="_Toc217"/>
    </w:p>
    <w:bookmarkEnd w:id="9"/>
    <w:p>
      <w:pPr>
        <w:pStyle w:val="28"/>
        <w:spacing w:before="75" w:beforeAutospacing="0" w:after="75" w:afterAutospacing="0"/>
        <w:jc w:val="center"/>
        <w:outlineLvl w:val="0"/>
        <w:rPr>
          <w:sz w:val="36"/>
          <w:szCs w:val="36"/>
          <w:highlight w:val="none"/>
        </w:rPr>
      </w:pPr>
      <w:bookmarkStart w:id="10" w:name="_Toc6328"/>
      <w:bookmarkStart w:id="11" w:name="_Toc40254088"/>
      <w:r>
        <w:rPr>
          <w:rStyle w:val="38"/>
          <w:rFonts w:hint="eastAsia"/>
          <w:sz w:val="36"/>
          <w:szCs w:val="36"/>
          <w:highlight w:val="none"/>
        </w:rPr>
        <w:t>第二章 投标人须知前附表</w:t>
      </w:r>
      <w:bookmarkEnd w:id="10"/>
      <w:bookmarkEnd w:id="11"/>
    </w:p>
    <w:p>
      <w:pPr>
        <w:pStyle w:val="28"/>
        <w:spacing w:before="75" w:beforeAutospacing="0" w:after="75" w:afterAutospacing="0"/>
        <w:rPr>
          <w:highlight w:val="none"/>
        </w:rPr>
      </w:pPr>
      <w:r>
        <w:rPr>
          <w:rFonts w:hint="eastAsia"/>
          <w:highlight w:val="none"/>
        </w:rPr>
        <w:t> </w:t>
      </w:r>
    </w:p>
    <w:tbl>
      <w:tblPr>
        <w:tblStyle w:val="33"/>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 w:type="dxa"/>
          <w:left w:w="17" w:type="dxa"/>
          <w:bottom w:w="17" w:type="dxa"/>
          <w:right w:w="17" w:type="dxa"/>
        </w:tblCellMar>
      </w:tblPr>
      <w:tblGrid>
        <w:gridCol w:w="780"/>
        <w:gridCol w:w="1523"/>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9298" w:type="dxa"/>
            <w:gridSpan w:val="3"/>
            <w:tcMar>
              <w:top w:w="0" w:type="dxa"/>
              <w:left w:w="105" w:type="dxa"/>
              <w:bottom w:w="0" w:type="dxa"/>
              <w:right w:w="105" w:type="dxa"/>
            </w:tcMar>
            <w:vAlign w:val="center"/>
          </w:tcPr>
          <w:p>
            <w:pPr>
              <w:pStyle w:val="28"/>
              <w:spacing w:before="0" w:beforeAutospacing="0" w:after="0" w:afterAutospacing="0"/>
              <w:jc w:val="center"/>
              <w:rPr>
                <w:highlight w:val="none"/>
              </w:rPr>
            </w:pPr>
            <w:r>
              <w:rPr>
                <w:rStyle w:val="38"/>
                <w:rFonts w:hint="eastAsia"/>
                <w:highlight w:val="none"/>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项号</w:t>
            </w: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招标文件</w:t>
            </w:r>
          </w:p>
          <w:p>
            <w:pPr>
              <w:pStyle w:val="28"/>
              <w:spacing w:before="0" w:beforeAutospacing="0" w:after="0" w:afterAutospacing="0"/>
              <w:jc w:val="center"/>
              <w:rPr>
                <w:highlight w:val="none"/>
              </w:rPr>
            </w:pPr>
            <w:r>
              <w:rPr>
                <w:rFonts w:hint="eastAsia"/>
                <w:highlight w:val="none"/>
              </w:rPr>
              <w:t>（第三章）</w:t>
            </w:r>
          </w:p>
        </w:tc>
        <w:tc>
          <w:tcPr>
            <w:tcW w:w="6995"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w:t>
            </w:r>
          </w:p>
        </w:tc>
        <w:tc>
          <w:tcPr>
            <w:tcW w:w="6995"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招标编号：ZFTY2020-YA008#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2</w:t>
            </w:r>
          </w:p>
        </w:tc>
        <w:tc>
          <w:tcPr>
            <w:tcW w:w="6995"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招标项目内容: 永安市石墨和石墨烯产业园园区水厂技术提升改造工程设备采购与安装项目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6</w:t>
            </w:r>
          </w:p>
        </w:tc>
        <w:tc>
          <w:tcPr>
            <w:tcW w:w="6995" w:type="dxa"/>
            <w:tcMar>
              <w:top w:w="0" w:type="dxa"/>
              <w:left w:w="105" w:type="dxa"/>
              <w:bottom w:w="0" w:type="dxa"/>
              <w:right w:w="105" w:type="dxa"/>
            </w:tcMar>
            <w:vAlign w:val="center"/>
          </w:tcPr>
          <w:p>
            <w:pPr>
              <w:pStyle w:val="28"/>
              <w:spacing w:before="0" w:beforeAutospacing="0" w:after="0" w:afterAutospacing="0"/>
              <w:rPr>
                <w:highlight w:val="none"/>
              </w:rPr>
            </w:pPr>
            <w:r>
              <w:rPr>
                <w:rFonts w:hint="eastAsia"/>
                <w:highlight w:val="none"/>
              </w:rPr>
              <w:t>资格标准：（投标人须提供以下文件，否则资格审查不合格）</w:t>
            </w:r>
          </w:p>
          <w:p>
            <w:pPr>
              <w:tabs>
                <w:tab w:val="left" w:pos="720"/>
              </w:tabs>
              <w:ind w:firstLine="480" w:firstLineChars="200"/>
              <w:jc w:val="left"/>
              <w:rPr>
                <w:rFonts w:ascii="宋体" w:hAnsi="宋体" w:cs="宋体"/>
                <w:bCs/>
                <w:sz w:val="24"/>
                <w:highlight w:val="none"/>
              </w:rPr>
            </w:pPr>
            <w:r>
              <w:rPr>
                <w:rFonts w:hint="eastAsia" w:ascii="宋体" w:hAnsi="宋体" w:cs="宋体"/>
                <w:bCs/>
                <w:sz w:val="24"/>
                <w:highlight w:val="none"/>
              </w:rPr>
              <w:t>（1）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p>
            <w:pPr>
              <w:tabs>
                <w:tab w:val="left" w:pos="720"/>
              </w:tabs>
              <w:ind w:firstLine="480" w:firstLineChars="200"/>
              <w:jc w:val="left"/>
              <w:rPr>
                <w:rFonts w:ascii="宋体" w:hAnsi="宋体" w:cs="宋体"/>
                <w:bCs/>
                <w:sz w:val="24"/>
                <w:highlight w:val="none"/>
              </w:rPr>
            </w:pPr>
            <w:r>
              <w:rPr>
                <w:rFonts w:hint="eastAsia" w:ascii="宋体" w:hAnsi="宋体" w:cs="宋体"/>
                <w:bCs/>
                <w:sz w:val="24"/>
                <w:highlight w:val="none"/>
              </w:rPr>
              <w:t xml:space="preserve">（2）投标人代表或授权代表参加投标时需随身携带本人身份证原件及身份证复印件，授权代表另需携带授权委托书； </w:t>
            </w:r>
          </w:p>
          <w:p>
            <w:pPr>
              <w:tabs>
                <w:tab w:val="left" w:pos="720"/>
              </w:tabs>
              <w:ind w:firstLine="480" w:firstLineChars="200"/>
              <w:jc w:val="left"/>
              <w:rPr>
                <w:rFonts w:ascii="宋体" w:hAnsi="宋体" w:cs="宋体"/>
                <w:bCs/>
                <w:sz w:val="24"/>
                <w:highlight w:val="none"/>
              </w:rPr>
            </w:pPr>
            <w:r>
              <w:rPr>
                <w:rFonts w:hint="eastAsia" w:ascii="宋体" w:hAnsi="宋体" w:cs="宋体"/>
                <w:bCs/>
                <w:sz w:val="24"/>
                <w:highlight w:val="none"/>
              </w:rPr>
              <w:t>（3）投标人提供上一年度财务报表，至少包括“资产负债表、利润表、现金流量表”；</w:t>
            </w:r>
            <w:r>
              <w:rPr>
                <w:rFonts w:hint="eastAsia"/>
                <w:szCs w:val="21"/>
                <w:highlight w:val="none"/>
              </w:rPr>
              <w:t xml:space="preserve"> </w:t>
            </w:r>
            <w:r>
              <w:rPr>
                <w:rFonts w:hint="eastAsia" w:ascii="宋体" w:hAnsi="宋体" w:cs="宋体"/>
                <w:bCs/>
                <w:sz w:val="24"/>
                <w:highlight w:val="none"/>
              </w:rPr>
              <w:t>提供依法缴纳税收和社会保障资金的相关材料；</w:t>
            </w:r>
          </w:p>
          <w:p>
            <w:pPr>
              <w:tabs>
                <w:tab w:val="left" w:pos="720"/>
              </w:tabs>
              <w:ind w:firstLine="480" w:firstLineChars="200"/>
              <w:jc w:val="left"/>
              <w:rPr>
                <w:rFonts w:ascii="宋体" w:hAnsi="宋体" w:cs="宋体"/>
                <w:bCs/>
                <w:sz w:val="24"/>
                <w:highlight w:val="none"/>
              </w:rPr>
            </w:pPr>
            <w:r>
              <w:rPr>
                <w:rFonts w:hint="eastAsia" w:ascii="宋体" w:hAnsi="宋体" w:cs="宋体"/>
                <w:bCs/>
                <w:sz w:val="24"/>
                <w:highlight w:val="none"/>
              </w:rPr>
              <w:t>（4）投标人具备履行本项目合同所必需的设备的和专业技术能力的书面声明函；</w:t>
            </w:r>
          </w:p>
          <w:p>
            <w:pPr>
              <w:tabs>
                <w:tab w:val="left" w:pos="720"/>
              </w:tabs>
              <w:ind w:firstLine="480" w:firstLineChars="200"/>
              <w:jc w:val="left"/>
              <w:rPr>
                <w:rFonts w:ascii="宋体" w:hAnsi="宋体" w:cs="宋体"/>
                <w:bCs/>
                <w:sz w:val="24"/>
                <w:highlight w:val="none"/>
              </w:rPr>
            </w:pPr>
            <w:r>
              <w:rPr>
                <w:rFonts w:hint="eastAsia" w:ascii="宋体" w:hAnsi="宋体" w:cs="宋体"/>
                <w:bCs/>
                <w:sz w:val="24"/>
                <w:highlight w:val="none"/>
              </w:rPr>
              <w:t>（5）投标方须提供参加政府采购活动前三年内，我方在经营活动中无严重违法失信行为信息记录、失信被执行人名录、企业经营异常名录、重大税收违法案件当事人名单、未被列为被告且无被执行案件、无行贿犯罪记录的书面声明。</w:t>
            </w:r>
          </w:p>
          <w:p>
            <w:pPr>
              <w:tabs>
                <w:tab w:val="left" w:pos="720"/>
              </w:tabs>
              <w:ind w:firstLine="480" w:firstLineChars="200"/>
              <w:jc w:val="left"/>
              <w:rPr>
                <w:rFonts w:ascii="宋体" w:hAnsi="宋体" w:cs="宋体"/>
                <w:bCs/>
                <w:sz w:val="24"/>
                <w:highlight w:val="none"/>
              </w:rPr>
            </w:pPr>
            <w:r>
              <w:rPr>
                <w:rFonts w:hint="eastAsia" w:ascii="宋体" w:hAnsi="宋体" w:cs="宋体"/>
                <w:bCs/>
                <w:sz w:val="24"/>
                <w:highlight w:val="none"/>
              </w:rPr>
              <w:t>（6）投标人须提供本项目发布日期之后通过“信用中国”网站(www.creditchina.gov.cn)查询其上述信用记录的信用信息查询结果网页打印件或截图。</w:t>
            </w:r>
          </w:p>
          <w:p>
            <w:pPr>
              <w:pStyle w:val="2"/>
              <w:rPr>
                <w:rFonts w:ascii="宋体" w:hAnsi="宋体" w:cs="宋体"/>
                <w:bCs/>
                <w:sz w:val="24"/>
                <w:highlight w:val="none"/>
              </w:rPr>
            </w:pPr>
            <w:r>
              <w:rPr>
                <w:rFonts w:hint="eastAsia"/>
                <w:highlight w:val="none"/>
              </w:rPr>
              <w:t xml:space="preserve"> </w:t>
            </w:r>
            <w:r>
              <w:rPr>
                <w:highlight w:val="none"/>
              </w:rPr>
              <w:t xml:space="preserve">    </w:t>
            </w:r>
            <w:r>
              <w:rPr>
                <w:rFonts w:hint="eastAsia" w:ascii="宋体" w:hAnsi="宋体" w:cs="宋体"/>
                <w:bCs/>
                <w:sz w:val="24"/>
                <w:highlight w:val="none"/>
              </w:rPr>
              <w:t>(7)</w:t>
            </w:r>
            <w:r>
              <w:rPr>
                <w:rFonts w:hint="eastAsia"/>
                <w:b/>
                <w:sz w:val="21"/>
                <w:szCs w:val="21"/>
                <w:highlight w:val="none"/>
              </w:rPr>
              <w:t xml:space="preserve"> </w:t>
            </w:r>
            <w:r>
              <w:rPr>
                <w:rFonts w:hint="eastAsia" w:ascii="宋体" w:hAnsi="宋体" w:cs="宋体"/>
                <w:bCs/>
                <w:sz w:val="24"/>
                <w:highlight w:val="none"/>
              </w:rPr>
              <w:t>投标人必须具备电子与智能化工程专业承包二级或机电安装工程专业承包三级及以上资质证书；</w:t>
            </w:r>
          </w:p>
          <w:p>
            <w:pPr>
              <w:pStyle w:val="3"/>
              <w:spacing w:line="240" w:lineRule="auto"/>
              <w:ind w:firstLine="480"/>
              <w:rPr>
                <w:rFonts w:ascii="宋体" w:hAnsi="宋体" w:cs="宋体"/>
                <w:bCs/>
                <w:highlight w:val="none"/>
              </w:rPr>
            </w:pPr>
            <w:r>
              <w:rPr>
                <w:rFonts w:hint="eastAsia" w:ascii="宋体" w:hAnsi="宋体" w:cs="宋体"/>
                <w:bCs/>
                <w:highlight w:val="none"/>
              </w:rPr>
              <w:t>(8)</w:t>
            </w:r>
            <w:r>
              <w:rPr>
                <w:rFonts w:ascii="宋体" w:hAnsi="宋体" w:cs="宋体"/>
                <w:bCs/>
                <w:highlight w:val="none"/>
              </w:rPr>
              <w:t xml:space="preserve"> </w:t>
            </w:r>
            <w:r>
              <w:rPr>
                <w:rFonts w:hint="eastAsia" w:ascii="宋体" w:hAnsi="宋体" w:cs="宋体"/>
                <w:bCs/>
                <w:highlight w:val="none"/>
              </w:rPr>
              <w:t>本次招标不接受联合体投标；</w:t>
            </w:r>
          </w:p>
          <w:p>
            <w:pPr>
              <w:pStyle w:val="3"/>
              <w:spacing w:line="240" w:lineRule="auto"/>
              <w:ind w:firstLine="480" w:firstLineChars="200"/>
              <w:rPr>
                <w:rFonts w:ascii="宋体" w:hAnsi="宋体" w:cs="宋体"/>
                <w:bCs/>
                <w:highlight w:val="none"/>
              </w:rPr>
            </w:pPr>
            <w:r>
              <w:rPr>
                <w:rFonts w:hint="eastAsia" w:ascii="宋体" w:hAnsi="宋体" w:cs="宋体"/>
                <w:bCs/>
                <w:highlight w:val="none"/>
              </w:rPr>
              <w:t>（9）</w:t>
            </w:r>
            <w:r>
              <w:rPr>
                <w:rFonts w:ascii="宋体" w:hAnsi="宋体" w:cs="宋体"/>
                <w:kern w:val="0"/>
                <w:highlight w:val="none"/>
              </w:rPr>
              <w:t>检察机关行贿犯罪档案查询结果告知函</w:t>
            </w:r>
            <w:r>
              <w:rPr>
                <w:rFonts w:hint="eastAsia" w:ascii="宋体" w:hAnsi="宋体" w:cs="宋体"/>
                <w:kern w:val="0"/>
                <w:highlight w:val="none"/>
              </w:rPr>
              <w:t>：a.</w:t>
            </w:r>
            <w:r>
              <w:rPr>
                <w:rFonts w:ascii="宋体" w:hAnsi="宋体" w:cs="宋体"/>
                <w:kern w:val="0"/>
                <w:highlight w:val="none"/>
              </w:rPr>
              <w:t>未提供行贿犯罪档案查询结果或查询结果表明投标人有行贿犯罪记录的，投标无效。</w:t>
            </w:r>
            <w:r>
              <w:rPr>
                <w:rFonts w:hint="eastAsia" w:ascii="宋体" w:hAnsi="宋体" w:cs="宋体"/>
                <w:kern w:val="0"/>
                <w:highlight w:val="none"/>
              </w:rPr>
              <w:t>b.</w:t>
            </w:r>
            <w:r>
              <w:rPr>
                <w:rFonts w:ascii="宋体" w:hAnsi="宋体" w:cs="宋体"/>
                <w:kern w:val="0"/>
                <w:highlight w:val="none"/>
              </w:rPr>
              <w:t>无法提供有效期内检察机关行贿犯罪档案查询结果告知函的，也应对近三年无行贿犯罪记录进行声明。</w:t>
            </w:r>
            <w:r>
              <w:rPr>
                <w:rFonts w:hint="eastAsia" w:ascii="宋体" w:hAnsi="宋体" w:cs="宋体"/>
                <w:kern w:val="0"/>
                <w:highlight w:val="none"/>
              </w:rPr>
              <w:t>c.</w:t>
            </w:r>
            <w:r>
              <w:rPr>
                <w:rFonts w:ascii="宋体" w:hAnsi="宋体" w:cs="宋体"/>
                <w:kern w:val="0"/>
                <w:highlight w:val="none"/>
              </w:rPr>
              <w:t>告知函应在有效期内且内容完整、清晰、整洁，否则投标无效。</w:t>
            </w:r>
            <w:r>
              <w:rPr>
                <w:rFonts w:hint="eastAsia" w:ascii="宋体" w:hAnsi="宋体" w:cs="宋体"/>
                <w:kern w:val="0"/>
                <w:highlight w:val="none"/>
              </w:rPr>
              <w:t>d.</w:t>
            </w:r>
            <w:r>
              <w:rPr>
                <w:rFonts w:ascii="宋体" w:hAnsi="宋体" w:cs="宋体"/>
                <w:kern w:val="0"/>
                <w:highlight w:val="none"/>
              </w:rPr>
              <w:t>无法获取有效期内检察机关行贿犯罪档案查询结果告知函的，应在《参加采购活动前三年内在经营活动中没有重大违法记录书面声明》中对近三年无行贿犯罪记录进行声明。</w:t>
            </w:r>
          </w:p>
          <w:p>
            <w:pPr>
              <w:ind w:firstLine="480" w:firstLineChars="200"/>
              <w:rPr>
                <w:rFonts w:ascii="宋体" w:hAnsi="宋体" w:cs="宋体"/>
                <w:bCs/>
                <w:sz w:val="24"/>
                <w:highlight w:val="none"/>
              </w:rPr>
            </w:pPr>
            <w:r>
              <w:rPr>
                <w:rFonts w:hint="eastAsia" w:ascii="宋体" w:hAnsi="宋体" w:cs="宋体"/>
                <w:bCs/>
                <w:sz w:val="24"/>
                <w:highlight w:val="none"/>
              </w:rPr>
              <w:t>（备注：投标人应按本项目招标文件的具体要求提供有效的资格证明材料，所有复印件应是最新（有效）、清晰，注明“与原件一致”并加盖投标人公章。《投标人代表授权书》除投标文件中要体现外，开标现场还需随身携带一份《投标人代表授权书》。</w:t>
            </w:r>
          </w:p>
          <w:p>
            <w:pPr>
              <w:pStyle w:val="28"/>
              <w:spacing w:before="0" w:beforeAutospacing="0" w:after="0" w:afterAutospacing="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w:t>
            </w: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6.1</w:t>
            </w:r>
          </w:p>
        </w:tc>
        <w:tc>
          <w:tcPr>
            <w:tcW w:w="6995" w:type="dxa"/>
            <w:tcMar>
              <w:top w:w="0" w:type="dxa"/>
              <w:left w:w="105" w:type="dxa"/>
              <w:bottom w:w="0" w:type="dxa"/>
              <w:right w:w="105" w:type="dxa"/>
            </w:tcMar>
            <w:vAlign w:val="center"/>
          </w:tcPr>
          <w:p>
            <w:pPr>
              <w:pStyle w:val="28"/>
              <w:spacing w:before="0" w:beforeAutospacing="0" w:after="0" w:afterAutospacing="0"/>
              <w:rPr>
                <w:highlight w:val="none"/>
              </w:rPr>
            </w:pPr>
            <w:r>
              <w:rPr>
                <w:rStyle w:val="38"/>
                <w:rFonts w:hint="eastAsia"/>
                <w:highlight w:val="none"/>
              </w:rPr>
              <w:t>是否组织现场考察或召开开标前答疑会：</w:t>
            </w:r>
            <w:r>
              <w:rPr>
                <w:color w:val="auto"/>
                <w:highlight w:val="none"/>
              </w:rPr>
              <w:t>（1）由于项目的复杂性及重要性，各潜在投标人应在报名截止时间后的第一个工作日上午10:00（北京时间），在</w:t>
            </w:r>
            <w:r>
              <w:rPr>
                <w:rFonts w:hint="eastAsia"/>
                <w:color w:val="auto"/>
                <w:highlight w:val="none"/>
              </w:rPr>
              <w:t>永安市石墨和石墨烯产业园园区</w:t>
            </w:r>
            <w:r>
              <w:rPr>
                <w:color w:val="auto"/>
                <w:highlight w:val="none"/>
              </w:rPr>
              <w:t>集合进行现场勘察（其余时间不安排现场勘察）。联系人：</w:t>
            </w:r>
            <w:r>
              <w:rPr>
                <w:rFonts w:hint="eastAsia"/>
                <w:color w:val="auto"/>
                <w:highlight w:val="none"/>
              </w:rPr>
              <w:t>杨工</w:t>
            </w:r>
            <w:r>
              <w:rPr>
                <w:color w:val="auto"/>
                <w:highlight w:val="none"/>
              </w:rPr>
              <w:t>； 联系电话：</w:t>
            </w:r>
            <w:r>
              <w:rPr>
                <w:rFonts w:hint="eastAsia"/>
                <w:color w:val="auto"/>
                <w:highlight w:val="none"/>
              </w:rPr>
              <w:t>18760298650</w:t>
            </w:r>
            <w:r>
              <w:rPr>
                <w:color w:val="auto"/>
                <w:highlight w:val="none"/>
              </w:rPr>
              <w:t>。为达成项目要求，硬件设备及对于安装现场及位置复杂性等原因造成费用增加时，各投标人应综合考虑在报价内。采购人对投标人实地勘察后做出的任何推论、理解和结论均不负责任，踏勘现场所发生的费用由潜在投标人自行承担。（2）投标人在投标文件“</w:t>
            </w:r>
            <w:r>
              <w:rPr>
                <w:rFonts w:hint="eastAsia"/>
                <w:color w:val="auto"/>
                <w:highlight w:val="none"/>
              </w:rPr>
              <w:t>技术</w:t>
            </w:r>
            <w:r>
              <w:rPr>
                <w:color w:val="auto"/>
                <w:highlight w:val="none"/>
              </w:rPr>
              <w:t>条件响应表”中应提交已勘察并了解现场情况声明函，对以下事项进行确认：A、投标人已详细考察过本项目现场情况，并自行承担可能因对现场理解不正确或误解而产生的相应后果和责任。B、承诺并声明：投标人已了解有关编制投标文件所涉及现场的所有资料，为达成项目要求，投标报价已综合硬件设备及对于安装现场及位置复杂性等原因可能造成的价格变动所产生的费用增加的因素，各投标人应综合考虑在报价内,今后在履行合同过程中不再提出存在此原因需调整价格。（</w:t>
            </w:r>
            <w:r>
              <w:rPr>
                <w:rFonts w:hint="eastAsia"/>
                <w:color w:val="auto"/>
                <w:highlight w:val="none"/>
              </w:rPr>
              <w:t>3</w:t>
            </w:r>
            <w:r>
              <w:rPr>
                <w:color w:val="auto"/>
                <w:highlight w:val="none"/>
              </w:rPr>
              <w:t>）踏勘现场时，投标人应仔细了解情况，并充分了解自己承担的风险、义务和责任。在踏勘现场过程中，投标人若发生意外情况，不论何原因造成，采购人均不负责。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2</w:t>
            </w: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10.4</w:t>
            </w:r>
          </w:p>
        </w:tc>
        <w:tc>
          <w:tcPr>
            <w:tcW w:w="6995" w:type="dxa"/>
            <w:tcMar>
              <w:top w:w="0" w:type="dxa"/>
              <w:left w:w="105" w:type="dxa"/>
              <w:bottom w:w="0" w:type="dxa"/>
              <w:right w:w="105" w:type="dxa"/>
            </w:tcMar>
            <w:vAlign w:val="center"/>
          </w:tcPr>
          <w:p>
            <w:pPr>
              <w:pStyle w:val="28"/>
              <w:spacing w:before="0" w:beforeAutospacing="0" w:after="0" w:afterAutospacing="0"/>
              <w:rPr>
                <w:highlight w:val="none"/>
              </w:rPr>
            </w:pPr>
            <w:r>
              <w:rPr>
                <w:rStyle w:val="38"/>
                <w:rFonts w:hint="eastAsia"/>
                <w:highlight w:val="none"/>
              </w:rPr>
              <w:t>投标文件的份数及格式：</w:t>
            </w:r>
            <w:r>
              <w:rPr>
                <w:rFonts w:hint="eastAsia"/>
                <w:highlight w:val="none"/>
              </w:rPr>
              <w:t>响应文件正本</w:t>
            </w:r>
            <w:r>
              <w:rPr>
                <w:b/>
                <w:bCs/>
                <w:highlight w:val="none"/>
              </w:rPr>
              <w:t>1</w:t>
            </w:r>
            <w:r>
              <w:rPr>
                <w:rFonts w:hint="eastAsia"/>
                <w:highlight w:val="none"/>
              </w:rPr>
              <w:t>份、副本</w:t>
            </w:r>
            <w:r>
              <w:rPr>
                <w:rFonts w:hint="eastAsia"/>
                <w:b/>
                <w:bCs/>
                <w:highlight w:val="none"/>
              </w:rPr>
              <w:t>4</w:t>
            </w:r>
            <w:r>
              <w:rPr>
                <w:rFonts w:hint="eastAsia"/>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3</w:t>
            </w:r>
          </w:p>
        </w:tc>
        <w:tc>
          <w:tcPr>
            <w:tcW w:w="1523" w:type="dxa"/>
            <w:tcMar>
              <w:top w:w="0" w:type="dxa"/>
              <w:left w:w="105" w:type="dxa"/>
              <w:bottom w:w="0" w:type="dxa"/>
              <w:right w:w="105" w:type="dxa"/>
            </w:tcMar>
            <w:vAlign w:val="center"/>
          </w:tcPr>
          <w:p>
            <w:pPr>
              <w:pStyle w:val="28"/>
              <w:spacing w:before="0" w:beforeAutospacing="0" w:after="0" w:afterAutospacing="0"/>
              <w:rPr>
                <w:highlight w:val="none"/>
              </w:rPr>
            </w:pPr>
            <w:r>
              <w:rPr>
                <w:rFonts w:hint="eastAsia"/>
                <w:highlight w:val="none"/>
              </w:rPr>
              <w:t>10.5-（2）-③</w:t>
            </w:r>
          </w:p>
        </w:tc>
        <w:tc>
          <w:tcPr>
            <w:tcW w:w="6995" w:type="dxa"/>
            <w:tcMar>
              <w:top w:w="0" w:type="dxa"/>
              <w:left w:w="105" w:type="dxa"/>
              <w:bottom w:w="0" w:type="dxa"/>
              <w:right w:w="105" w:type="dxa"/>
            </w:tcMar>
            <w:vAlign w:val="center"/>
          </w:tcPr>
          <w:p>
            <w:pPr>
              <w:pStyle w:val="28"/>
              <w:spacing w:before="0" w:beforeAutospacing="0" w:after="0" w:afterAutospacing="0"/>
              <w:rPr>
                <w:highlight w:val="none"/>
              </w:rPr>
            </w:pPr>
            <w:r>
              <w:rPr>
                <w:rStyle w:val="38"/>
                <w:rFonts w:hint="eastAsia"/>
                <w:highlight w:val="none"/>
              </w:rPr>
              <w:t>允许散装或活页装订的内容或材料：</w:t>
            </w:r>
          </w:p>
          <w:p>
            <w:pPr>
              <w:pStyle w:val="28"/>
              <w:spacing w:before="0" w:beforeAutospacing="0" w:after="0" w:afterAutospacing="0"/>
              <w:rPr>
                <w:highlight w:val="none"/>
              </w:rPr>
            </w:pPr>
            <w:r>
              <w:rPr>
                <w:rFonts w:hint="eastAsia"/>
                <w:highlight w:val="none"/>
              </w:rPr>
              <w:t>（1）投标文件的补充、修改或撤回；</w:t>
            </w:r>
          </w:p>
          <w:p>
            <w:pPr>
              <w:pStyle w:val="28"/>
              <w:spacing w:before="0" w:beforeAutospacing="0" w:after="0" w:afterAutospacing="0"/>
              <w:rPr>
                <w:highlight w:val="none"/>
              </w:rPr>
            </w:pPr>
            <w:r>
              <w:rPr>
                <w:rFonts w:hint="eastAsia"/>
                <w:highlight w:val="none"/>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4</w:t>
            </w:r>
          </w:p>
        </w:tc>
        <w:tc>
          <w:tcPr>
            <w:tcW w:w="1523" w:type="dxa"/>
            <w:tcMar>
              <w:top w:w="0" w:type="dxa"/>
              <w:left w:w="105" w:type="dxa"/>
              <w:bottom w:w="0" w:type="dxa"/>
              <w:right w:w="105" w:type="dxa"/>
            </w:tcMar>
            <w:vAlign w:val="center"/>
          </w:tcPr>
          <w:p>
            <w:pPr>
              <w:pStyle w:val="28"/>
              <w:spacing w:before="0" w:beforeAutospacing="0" w:after="0" w:afterAutospacing="0"/>
              <w:rPr>
                <w:highlight w:val="none"/>
              </w:rPr>
            </w:pPr>
            <w:r>
              <w:rPr>
                <w:rFonts w:hint="eastAsia"/>
                <w:highlight w:val="none"/>
              </w:rPr>
              <w:t> 10.7-（1）</w:t>
            </w:r>
          </w:p>
        </w:tc>
        <w:tc>
          <w:tcPr>
            <w:tcW w:w="6995" w:type="dxa"/>
            <w:tcMar>
              <w:top w:w="0" w:type="dxa"/>
              <w:left w:w="105" w:type="dxa"/>
              <w:bottom w:w="0" w:type="dxa"/>
              <w:right w:w="105" w:type="dxa"/>
            </w:tcMar>
            <w:vAlign w:val="center"/>
          </w:tcPr>
          <w:p>
            <w:pPr>
              <w:pStyle w:val="28"/>
              <w:spacing w:before="0" w:beforeAutospacing="0" w:after="0" w:afterAutospacing="0"/>
              <w:rPr>
                <w:highlight w:val="none"/>
              </w:rPr>
            </w:pPr>
            <w:r>
              <w:rPr>
                <w:rStyle w:val="38"/>
                <w:rFonts w:hint="eastAsia"/>
                <w:highlight w:val="none"/>
              </w:rPr>
              <w:t>是否允许中标人将本项目的非主体、非关键性工作进行分包：</w:t>
            </w:r>
          </w:p>
          <w:p>
            <w:pPr>
              <w:pStyle w:val="28"/>
              <w:spacing w:before="0" w:beforeAutospacing="0" w:after="0" w:afterAutospacing="0"/>
              <w:rPr>
                <w:highlight w:val="none"/>
              </w:rPr>
            </w:pPr>
            <w:r>
              <w:rPr>
                <w:rFonts w:hint="eastAsia"/>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5</w:t>
            </w: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p>
        </w:tc>
        <w:tc>
          <w:tcPr>
            <w:tcW w:w="6995" w:type="dxa"/>
            <w:tcMar>
              <w:top w:w="0" w:type="dxa"/>
              <w:left w:w="105" w:type="dxa"/>
              <w:bottom w:w="0" w:type="dxa"/>
              <w:right w:w="105" w:type="dxa"/>
            </w:tcMar>
            <w:vAlign w:val="center"/>
          </w:tcPr>
          <w:p>
            <w:pPr>
              <w:rPr>
                <w:rFonts w:ascii="宋体" w:hAnsi="宋体" w:cs="宋体"/>
                <w:sz w:val="24"/>
                <w:highlight w:val="none"/>
              </w:rPr>
            </w:pPr>
            <w:r>
              <w:rPr>
                <w:rFonts w:hint="eastAsia" w:ascii="宋体" w:hAnsi="宋体" w:cs="宋体"/>
                <w:sz w:val="24"/>
                <w:highlight w:val="none"/>
              </w:rPr>
              <w:t>投标文件递交地址：福建省三明市永安市南山路2号13栋三楼</w:t>
            </w:r>
          </w:p>
          <w:p>
            <w:pPr>
              <w:pStyle w:val="28"/>
              <w:spacing w:before="0" w:beforeAutospacing="0" w:after="0" w:afterAutospacing="0"/>
              <w:rPr>
                <w:rStyle w:val="38"/>
                <w:highlight w:val="none"/>
              </w:rPr>
            </w:pPr>
            <w:r>
              <w:rPr>
                <w:rFonts w:hint="eastAsia"/>
                <w:highlight w:val="none"/>
              </w:rPr>
              <w:t>投标截止时间</w:t>
            </w:r>
            <w:r>
              <w:rPr>
                <w:rFonts w:hint="eastAsia"/>
                <w:highlight w:val="none"/>
              </w:rPr>
              <w:t>：</w:t>
            </w:r>
            <w:r>
              <w:rPr>
                <w:rFonts w:hint="eastAsia"/>
                <w:bCs/>
                <w:highlight w:val="none"/>
              </w:rPr>
              <w:t>2020年月日</w:t>
            </w:r>
            <w:r>
              <w:rPr>
                <w:rFonts w:hint="eastAsia"/>
                <w:bCs/>
                <w:highlight w:val="none"/>
              </w:rPr>
              <w:t>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6</w:t>
            </w: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p>
        </w:tc>
        <w:tc>
          <w:tcPr>
            <w:tcW w:w="6995" w:type="dxa"/>
            <w:tcMar>
              <w:top w:w="0" w:type="dxa"/>
              <w:left w:w="105" w:type="dxa"/>
              <w:bottom w:w="0" w:type="dxa"/>
              <w:right w:w="105" w:type="dxa"/>
            </w:tcMar>
            <w:vAlign w:val="center"/>
          </w:tcPr>
          <w:p>
            <w:pPr>
              <w:rPr>
                <w:rStyle w:val="38"/>
                <w:rFonts w:ascii="宋体" w:hAnsi="宋体" w:cs="宋体"/>
                <w:highlight w:val="none"/>
              </w:rPr>
            </w:pPr>
            <w:r>
              <w:rPr>
                <w:rFonts w:hint="eastAsia" w:ascii="宋体" w:hAnsi="宋体" w:cs="宋体"/>
                <w:b/>
                <w:sz w:val="24"/>
                <w:highlight w:val="none"/>
              </w:rPr>
              <w:t>投标保证金为人民币</w:t>
            </w:r>
            <w:r>
              <w:rPr>
                <w:rFonts w:hint="eastAsia" w:ascii="宋体" w:hAnsi="宋体" w:cs="宋体"/>
                <w:b/>
                <w:sz w:val="24"/>
                <w:highlight w:val="none"/>
                <w:u w:val="single"/>
              </w:rPr>
              <w:t>柒万元</w:t>
            </w:r>
            <w:r>
              <w:rPr>
                <w:rFonts w:hint="eastAsia" w:ascii="宋体" w:hAnsi="宋体" w:cs="宋体"/>
                <w:b/>
                <w:sz w:val="24"/>
                <w:highlight w:val="none"/>
                <w:u w:val="single"/>
              </w:rPr>
              <w:t>整</w:t>
            </w:r>
            <w:r>
              <w:rPr>
                <w:rFonts w:hint="eastAsia" w:ascii="宋体" w:hAnsi="宋体" w:cs="宋体"/>
                <w:b/>
                <w:sz w:val="24"/>
                <w:highlight w:val="none"/>
              </w:rPr>
              <w:t>。</w:t>
            </w:r>
            <w:r>
              <w:rPr>
                <w:rStyle w:val="38"/>
                <w:rFonts w:hint="eastAsia" w:ascii="宋体" w:hAnsi="宋体" w:cs="宋体"/>
                <w:sz w:val="24"/>
                <w:highlight w:val="none"/>
              </w:rPr>
              <w:t>投标人以</w:t>
            </w:r>
            <w:r>
              <w:rPr>
                <w:rFonts w:hint="eastAsia" w:ascii="宋体" w:hAnsi="宋体" w:cs="宋体"/>
                <w:b/>
                <w:sz w:val="24"/>
                <w:highlight w:val="none"/>
              </w:rPr>
              <w:t>在</w:t>
            </w:r>
            <w:r>
              <w:rPr>
                <w:rFonts w:hint="eastAsia" w:ascii="宋体" w:hAnsi="宋体" w:cs="宋体"/>
                <w:bCs/>
                <w:sz w:val="24"/>
                <w:highlight w:val="none"/>
              </w:rPr>
              <w:t>2020年月日</w:t>
            </w:r>
            <w:r>
              <w:rPr>
                <w:rFonts w:hint="eastAsia" w:ascii="宋体" w:hAnsi="宋体" w:cs="宋体"/>
                <w:b/>
                <w:sz w:val="24"/>
                <w:highlight w:val="none"/>
                <w:u w:val="single"/>
              </w:rPr>
              <w:t>17:00</w:t>
            </w:r>
            <w:r>
              <w:rPr>
                <w:rFonts w:hint="eastAsia" w:ascii="宋体" w:hAnsi="宋体" w:cs="宋体"/>
                <w:b/>
                <w:sz w:val="24"/>
                <w:highlight w:val="none"/>
              </w:rPr>
              <w:t>前交纳至福建中福天缘工程造价咨询有限公司。</w:t>
            </w:r>
          </w:p>
          <w:p>
            <w:pPr>
              <w:pStyle w:val="28"/>
              <w:spacing w:before="0" w:beforeAutospacing="0" w:after="0" w:afterAutospacing="0"/>
              <w:rPr>
                <w:rStyle w:val="38"/>
                <w:highlight w:val="none"/>
              </w:rPr>
            </w:pPr>
            <w:r>
              <w:rPr>
                <w:rFonts w:hint="eastAsia"/>
                <w:bCs/>
                <w:highlight w:val="none"/>
              </w:rPr>
              <w:t>中标单位的投标保证金</w:t>
            </w:r>
            <w:r>
              <w:rPr>
                <w:rFonts w:hint="eastAsia"/>
                <w:highlight w:val="none"/>
              </w:rPr>
              <w:t>待合同签订后退还。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7</w:t>
            </w: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10.8-（1）</w:t>
            </w:r>
          </w:p>
        </w:tc>
        <w:tc>
          <w:tcPr>
            <w:tcW w:w="6995" w:type="dxa"/>
            <w:tcMar>
              <w:top w:w="0" w:type="dxa"/>
              <w:left w:w="105" w:type="dxa"/>
              <w:bottom w:w="0" w:type="dxa"/>
              <w:right w:w="105" w:type="dxa"/>
            </w:tcMar>
            <w:vAlign w:val="center"/>
          </w:tcPr>
          <w:p>
            <w:pPr>
              <w:pStyle w:val="28"/>
              <w:spacing w:before="0" w:beforeAutospacing="0" w:after="0" w:afterAutospacing="0"/>
              <w:rPr>
                <w:highlight w:val="none"/>
              </w:rPr>
            </w:pPr>
            <w:r>
              <w:rPr>
                <w:rStyle w:val="38"/>
                <w:rFonts w:hint="eastAsia"/>
                <w:highlight w:val="none"/>
              </w:rPr>
              <w:t>投标有效期</w:t>
            </w:r>
            <w:r>
              <w:rPr>
                <w:rFonts w:hint="eastAsia"/>
                <w:highlight w:val="none"/>
              </w:rPr>
              <w:t>：投标截止时间起60个日历日。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p>
        </w:tc>
        <w:tc>
          <w:tcPr>
            <w:tcW w:w="6995" w:type="dxa"/>
            <w:tcMar>
              <w:top w:w="0" w:type="dxa"/>
              <w:left w:w="105" w:type="dxa"/>
              <w:bottom w:w="0" w:type="dxa"/>
              <w:right w:w="105" w:type="dxa"/>
            </w:tcMar>
            <w:vAlign w:val="center"/>
          </w:tcPr>
          <w:p>
            <w:pPr>
              <w:rPr>
                <w:rFonts w:ascii="宋体" w:hAnsi="宋体" w:cs="宋体"/>
                <w:b/>
                <w:bCs/>
                <w:sz w:val="24"/>
                <w:highlight w:val="none"/>
              </w:rPr>
            </w:pPr>
            <w:r>
              <w:rPr>
                <w:rFonts w:hint="eastAsia" w:ascii="宋体" w:hAnsi="宋体" w:cs="宋体"/>
                <w:b/>
                <w:bCs/>
                <w:sz w:val="24"/>
                <w:highlight w:val="none"/>
              </w:rPr>
              <w:t>下列情况之一者，投标文件无效，作为废标处理：</w:t>
            </w:r>
          </w:p>
          <w:p>
            <w:pPr>
              <w:rPr>
                <w:rFonts w:ascii="宋体" w:hAnsi="宋体" w:cs="宋体"/>
                <w:sz w:val="24"/>
                <w:highlight w:val="none"/>
              </w:rPr>
            </w:pPr>
            <w:r>
              <w:rPr>
                <w:rFonts w:hint="eastAsia" w:ascii="宋体" w:hAnsi="宋体" w:cs="宋体"/>
                <w:sz w:val="24"/>
                <w:highlight w:val="none"/>
              </w:rPr>
              <w:t>(1)投标文件未按照本须知的规定进行密封、标记的；未按本须知规定的格式填写投标文件、投标文件字迹模糊不清的，其报价将被拒绝。</w:t>
            </w:r>
          </w:p>
          <w:p>
            <w:pPr>
              <w:rPr>
                <w:rFonts w:ascii="宋体" w:hAnsi="宋体" w:cs="宋体"/>
                <w:sz w:val="24"/>
                <w:highlight w:val="none"/>
              </w:rPr>
            </w:pPr>
            <w:r>
              <w:rPr>
                <w:rFonts w:hint="eastAsia" w:ascii="宋体" w:hAnsi="宋体" w:cs="宋体"/>
                <w:sz w:val="24"/>
                <w:highlight w:val="none"/>
              </w:rPr>
              <w:t>(2)未按规定由投标人的法定代表人或其授权代表签字，或未加盖投标人公章的；或签字人未经法定代表人有效授权委托的；</w:t>
            </w:r>
          </w:p>
          <w:p>
            <w:pPr>
              <w:rPr>
                <w:rFonts w:ascii="宋体" w:hAnsi="宋体" w:cs="宋体"/>
                <w:sz w:val="24"/>
                <w:highlight w:val="none"/>
              </w:rPr>
            </w:pPr>
            <w:r>
              <w:rPr>
                <w:rFonts w:hint="eastAsia" w:ascii="宋体" w:hAnsi="宋体" w:cs="宋体"/>
                <w:sz w:val="24"/>
                <w:highlight w:val="none"/>
              </w:rPr>
              <w:t>(3)未按规定提交报价保证金的；</w:t>
            </w:r>
          </w:p>
          <w:p>
            <w:pPr>
              <w:rPr>
                <w:rFonts w:ascii="宋体" w:hAnsi="宋体" w:cs="宋体"/>
                <w:sz w:val="24"/>
                <w:highlight w:val="none"/>
              </w:rPr>
            </w:pPr>
            <w:r>
              <w:rPr>
                <w:rFonts w:hint="eastAsia" w:ascii="宋体" w:hAnsi="宋体" w:cs="宋体"/>
                <w:sz w:val="24"/>
                <w:highlight w:val="none"/>
              </w:rPr>
              <w:t>(4)报价有效期不满足招标文件要求的；</w:t>
            </w:r>
          </w:p>
          <w:p>
            <w:pPr>
              <w:rPr>
                <w:rFonts w:ascii="宋体" w:hAnsi="宋体" w:cs="宋体"/>
                <w:sz w:val="24"/>
                <w:highlight w:val="none"/>
              </w:rPr>
            </w:pPr>
            <w:r>
              <w:rPr>
                <w:rFonts w:hint="eastAsia" w:ascii="宋体" w:hAnsi="宋体" w:cs="宋体"/>
                <w:sz w:val="24"/>
                <w:highlight w:val="none"/>
              </w:rPr>
              <w:t>(5)报价内容与招标内容及要求有重大偏离或保留的；</w:t>
            </w:r>
          </w:p>
          <w:p>
            <w:pPr>
              <w:rPr>
                <w:rFonts w:ascii="宋体" w:hAnsi="宋体" w:cs="宋体"/>
                <w:sz w:val="24"/>
                <w:highlight w:val="none"/>
              </w:rPr>
            </w:pPr>
            <w:r>
              <w:rPr>
                <w:rFonts w:hint="eastAsia" w:ascii="宋体" w:hAnsi="宋体" w:cs="宋体"/>
                <w:sz w:val="24"/>
                <w:highlight w:val="none"/>
              </w:rPr>
              <w:t>(6)投标人提交的是可选择的报价；</w:t>
            </w:r>
          </w:p>
          <w:p>
            <w:pPr>
              <w:rPr>
                <w:rFonts w:ascii="宋体" w:hAnsi="宋体" w:cs="宋体"/>
                <w:sz w:val="24"/>
                <w:highlight w:val="none"/>
              </w:rPr>
            </w:pPr>
            <w:r>
              <w:rPr>
                <w:rFonts w:hint="eastAsia" w:ascii="宋体" w:hAnsi="宋体" w:cs="宋体"/>
                <w:sz w:val="24"/>
                <w:highlight w:val="none"/>
              </w:rPr>
              <w:t>(7)投标人未按规定对报价进行分项报价；</w:t>
            </w:r>
          </w:p>
          <w:p>
            <w:pPr>
              <w:rPr>
                <w:rFonts w:ascii="宋体" w:hAnsi="宋体" w:cs="宋体"/>
                <w:sz w:val="24"/>
                <w:highlight w:val="none"/>
              </w:rPr>
            </w:pPr>
            <w:r>
              <w:rPr>
                <w:rFonts w:hint="eastAsia" w:ascii="宋体" w:hAnsi="宋体" w:cs="宋体"/>
                <w:sz w:val="24"/>
                <w:highlight w:val="none"/>
              </w:rPr>
              <w:t>(8) 一个投标人不止报一个标；</w:t>
            </w:r>
          </w:p>
          <w:p>
            <w:pPr>
              <w:rPr>
                <w:rFonts w:ascii="宋体" w:hAnsi="宋体" w:cs="宋体"/>
                <w:sz w:val="24"/>
                <w:highlight w:val="none"/>
              </w:rPr>
            </w:pPr>
            <w:r>
              <w:rPr>
                <w:rFonts w:hint="eastAsia" w:ascii="宋体" w:hAnsi="宋体" w:cs="宋体"/>
                <w:sz w:val="24"/>
                <w:highlight w:val="none"/>
              </w:rPr>
              <w:t>(9)投标文件组成不符合招标文件要求的；</w:t>
            </w:r>
          </w:p>
          <w:p>
            <w:pPr>
              <w:rPr>
                <w:rFonts w:ascii="宋体" w:hAnsi="宋体" w:cs="宋体"/>
                <w:sz w:val="24"/>
                <w:highlight w:val="none"/>
              </w:rPr>
            </w:pPr>
            <w:r>
              <w:rPr>
                <w:rFonts w:hint="eastAsia" w:ascii="宋体" w:hAnsi="宋体" w:cs="宋体"/>
                <w:sz w:val="24"/>
                <w:highlight w:val="none"/>
              </w:rPr>
              <w:t>(10)投标文件中提供虚假或失实资料的；</w:t>
            </w:r>
          </w:p>
          <w:p>
            <w:pPr>
              <w:rPr>
                <w:rFonts w:ascii="宋体" w:hAnsi="宋体" w:cs="宋体"/>
                <w:sz w:val="24"/>
                <w:highlight w:val="none"/>
              </w:rPr>
            </w:pPr>
            <w:r>
              <w:rPr>
                <w:rFonts w:hint="eastAsia" w:ascii="宋体" w:hAnsi="宋体" w:cs="宋体"/>
                <w:sz w:val="24"/>
                <w:highlight w:val="none"/>
              </w:rPr>
              <w:t>(11)如果投标人不具备报价资格，不满足招标文件所规定的资格标准或提供资格证明文件不全的, 其报价将被拒绝；</w:t>
            </w:r>
          </w:p>
          <w:p>
            <w:pPr>
              <w:rPr>
                <w:rFonts w:ascii="宋体" w:hAnsi="宋体" w:cs="宋体"/>
                <w:sz w:val="24"/>
                <w:highlight w:val="none"/>
              </w:rPr>
            </w:pPr>
            <w:r>
              <w:rPr>
                <w:rFonts w:hint="eastAsia" w:ascii="宋体" w:hAnsi="宋体" w:cs="宋体"/>
                <w:sz w:val="24"/>
                <w:highlight w:val="none"/>
              </w:rPr>
              <w:t>(12)资格证明文件未加盖公章并未注明“与原件一致”的，其报价将被拒绝；</w:t>
            </w:r>
          </w:p>
          <w:p>
            <w:pPr>
              <w:pStyle w:val="28"/>
              <w:spacing w:before="0" w:beforeAutospacing="0" w:after="0" w:afterAutospacing="0"/>
              <w:rPr>
                <w:rStyle w:val="38"/>
                <w:highlight w:val="none"/>
              </w:rPr>
            </w:pPr>
            <w:r>
              <w:rPr>
                <w:rFonts w:hint="eastAsia"/>
                <w:highlight w:val="none"/>
              </w:rPr>
              <w:t>(13）招标文件规定的其它废标条款。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p>
        </w:tc>
        <w:tc>
          <w:tcPr>
            <w:tcW w:w="6995" w:type="dxa"/>
            <w:tcMar>
              <w:top w:w="0" w:type="dxa"/>
              <w:left w:w="105" w:type="dxa"/>
              <w:bottom w:w="0" w:type="dxa"/>
              <w:right w:w="105" w:type="dxa"/>
            </w:tcMar>
            <w:vAlign w:val="center"/>
          </w:tcPr>
          <w:p>
            <w:pPr>
              <w:rPr>
                <w:rFonts w:ascii="宋体" w:hAnsi="宋体" w:cs="宋体"/>
                <w:b/>
                <w:bCs/>
                <w:sz w:val="24"/>
                <w:highlight w:val="none"/>
              </w:rPr>
            </w:pPr>
            <w:r>
              <w:rPr>
                <w:rFonts w:hint="eastAsia" w:ascii="宋体" w:hAnsi="宋体" w:cs="宋体"/>
                <w:b/>
                <w:bCs/>
                <w:sz w:val="24"/>
                <w:highlight w:val="none"/>
              </w:rPr>
              <w:t>串通报价的情形：</w:t>
            </w:r>
          </w:p>
          <w:p>
            <w:pPr>
              <w:rPr>
                <w:rFonts w:ascii="宋体" w:hAnsi="宋体" w:cs="宋体"/>
                <w:sz w:val="24"/>
                <w:highlight w:val="none"/>
              </w:rPr>
            </w:pPr>
            <w:r>
              <w:rPr>
                <w:rFonts w:hint="eastAsia" w:ascii="宋体" w:hAnsi="宋体" w:cs="宋体"/>
                <w:sz w:val="24"/>
                <w:highlight w:val="none"/>
              </w:rPr>
              <w:t>评标委员会在评标过程中发现投标人存在下列情形之一的，可认定其有串通报价行为，并做出其报价无效的决定：</w:t>
            </w:r>
          </w:p>
          <w:p>
            <w:pPr>
              <w:rPr>
                <w:rFonts w:ascii="宋体" w:hAnsi="宋体" w:cs="宋体"/>
                <w:sz w:val="24"/>
                <w:highlight w:val="none"/>
              </w:rPr>
            </w:pPr>
            <w:r>
              <w:rPr>
                <w:rFonts w:hint="eastAsia" w:ascii="宋体" w:hAnsi="宋体" w:cs="宋体"/>
                <w:sz w:val="24"/>
                <w:highlight w:val="none"/>
              </w:rPr>
              <w:t>（1）不同投标人的投标文件错、漏之处一致或雷同，且不能合理解释的；</w:t>
            </w:r>
          </w:p>
          <w:p>
            <w:pPr>
              <w:rPr>
                <w:rFonts w:ascii="宋体" w:hAnsi="宋体" w:cs="宋体"/>
                <w:sz w:val="24"/>
                <w:highlight w:val="none"/>
              </w:rPr>
            </w:pPr>
            <w:r>
              <w:rPr>
                <w:rFonts w:hint="eastAsia" w:ascii="宋体" w:hAnsi="宋体" w:cs="宋体"/>
                <w:sz w:val="24"/>
                <w:highlight w:val="none"/>
              </w:rPr>
              <w:t>（2）不同的投标人的法定代表人、委托代理人等由同一个单位缴纳社会保险的；</w:t>
            </w:r>
          </w:p>
          <w:p>
            <w:pPr>
              <w:rPr>
                <w:rFonts w:ascii="宋体" w:hAnsi="宋体" w:cs="宋体"/>
                <w:sz w:val="24"/>
                <w:highlight w:val="none"/>
              </w:rPr>
            </w:pPr>
            <w:r>
              <w:rPr>
                <w:rFonts w:hint="eastAsia" w:ascii="宋体" w:hAnsi="宋体" w:cs="宋体"/>
                <w:sz w:val="24"/>
                <w:highlight w:val="none"/>
              </w:rPr>
              <w:t>（3）由同一人或分别由几个有利害关系人携带两个以上（含两个）投标人的企业资料参与资格审查、领取招标资料，或代表两个以上（含两个）投标人参加答疑会、交纳或退还报价保证金、开标的；</w:t>
            </w:r>
          </w:p>
          <w:p>
            <w:pPr>
              <w:rPr>
                <w:rFonts w:ascii="宋体" w:hAnsi="宋体" w:cs="宋体"/>
                <w:b/>
                <w:bCs/>
                <w:sz w:val="24"/>
                <w:highlight w:val="none"/>
              </w:rPr>
            </w:pPr>
            <w:r>
              <w:rPr>
                <w:rFonts w:hint="eastAsia" w:ascii="宋体" w:hAnsi="宋体" w:cs="宋体"/>
                <w:sz w:val="24"/>
                <w:highlight w:val="none"/>
              </w:rPr>
              <w:t>（4）有关法律、法规或规章规定的其他串通报价行为。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rPr>
                <w:highlight w:val="none"/>
              </w:rPr>
            </w:pPr>
            <w:r>
              <w:rPr>
                <w:rFonts w:hint="eastAsia"/>
                <w:highlight w:val="none"/>
              </w:rPr>
              <w:t>  8</w:t>
            </w: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10.10-（2）</w:t>
            </w:r>
          </w:p>
        </w:tc>
        <w:tc>
          <w:tcPr>
            <w:tcW w:w="6995" w:type="dxa"/>
            <w:tcMar>
              <w:top w:w="0" w:type="dxa"/>
              <w:left w:w="105" w:type="dxa"/>
              <w:bottom w:w="0" w:type="dxa"/>
              <w:right w:w="105" w:type="dxa"/>
            </w:tcMar>
            <w:vAlign w:val="center"/>
          </w:tcPr>
          <w:p>
            <w:pPr>
              <w:pStyle w:val="28"/>
              <w:spacing w:before="0" w:beforeAutospacing="0" w:after="0" w:afterAutospacing="0"/>
              <w:rPr>
                <w:highlight w:val="none"/>
              </w:rPr>
            </w:pPr>
            <w:r>
              <w:rPr>
                <w:rStyle w:val="38"/>
                <w:rFonts w:hint="eastAsia"/>
                <w:highlight w:val="none"/>
              </w:rPr>
              <w:t>密封及其标记的具体形式：</w:t>
            </w:r>
          </w:p>
          <w:p>
            <w:pPr>
              <w:pStyle w:val="28"/>
              <w:spacing w:before="0" w:beforeAutospacing="0" w:after="0" w:afterAutospacing="0"/>
              <w:rPr>
                <w:highlight w:val="none"/>
              </w:rPr>
            </w:pPr>
            <w:r>
              <w:rPr>
                <w:rFonts w:hint="eastAsia"/>
                <w:highlight w:val="none"/>
              </w:rPr>
              <w:t>（1）全部纸质投标文件（包括正本、副本）均应密封，（正本、副本分别密封在同一个包装袋里）否则</w:t>
            </w:r>
            <w:r>
              <w:rPr>
                <w:rStyle w:val="38"/>
                <w:rFonts w:hint="eastAsia"/>
                <w:highlight w:val="none"/>
              </w:rPr>
              <w:t>投标将被拒绝。</w:t>
            </w:r>
          </w:p>
          <w:p>
            <w:pPr>
              <w:pStyle w:val="28"/>
              <w:spacing w:before="0" w:beforeAutospacing="0" w:after="0" w:afterAutospacing="0"/>
              <w:rPr>
                <w:highlight w:val="none"/>
              </w:rPr>
            </w:pPr>
            <w:r>
              <w:rPr>
                <w:rFonts w:hint="eastAsia"/>
                <w:highlight w:val="none"/>
              </w:rPr>
              <w:t>（2）密封的外包装应至少标记“项目名称、招标编号、所投合同包、投标人的全称”等内容，否则造成投标文件误投、遗漏或提前拆封的，</w:t>
            </w:r>
            <w:r>
              <w:rPr>
                <w:rFonts w:hint="eastAsia"/>
                <w:highlight w:val="none"/>
                <w:u w:val="single"/>
              </w:rPr>
              <w:t>福建中福天缘工程造价咨询有限公司</w:t>
            </w:r>
            <w:r>
              <w:rPr>
                <w:rFonts w:hint="eastAsia"/>
                <w:highlight w:val="none"/>
              </w:rPr>
              <w:t>不承担责任。</w:t>
            </w:r>
          </w:p>
          <w:p>
            <w:pPr>
              <w:pStyle w:val="28"/>
              <w:spacing w:before="0" w:beforeAutospacing="0" w:after="0" w:afterAutospacing="0"/>
              <w:rPr>
                <w:highlight w:val="none"/>
              </w:rPr>
            </w:pPr>
            <w:r>
              <w:rPr>
                <w:rFonts w:hint="eastAsia"/>
                <w:highlight w:val="none"/>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9</w:t>
            </w: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12.1</w:t>
            </w:r>
          </w:p>
        </w:tc>
        <w:tc>
          <w:tcPr>
            <w:tcW w:w="6995" w:type="dxa"/>
            <w:tcMar>
              <w:top w:w="0" w:type="dxa"/>
              <w:left w:w="105" w:type="dxa"/>
              <w:bottom w:w="0" w:type="dxa"/>
              <w:right w:w="105" w:type="dxa"/>
            </w:tcMar>
            <w:vAlign w:val="center"/>
          </w:tcPr>
          <w:p>
            <w:pPr>
              <w:pStyle w:val="28"/>
              <w:spacing w:before="0" w:beforeAutospacing="0" w:after="0" w:afterAutospacing="0"/>
              <w:rPr>
                <w:highlight w:val="none"/>
              </w:rPr>
            </w:pPr>
            <w:r>
              <w:rPr>
                <w:rFonts w:hint="eastAsia"/>
                <w:highlight w:val="none"/>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75" w:type="dxa"/>
              <w:left w:w="150" w:type="dxa"/>
              <w:bottom w:w="75" w:type="dxa"/>
              <w:right w:w="150" w:type="dxa"/>
            </w:tcMar>
            <w:vAlign w:val="center"/>
          </w:tcPr>
          <w:p>
            <w:pPr>
              <w:pStyle w:val="28"/>
              <w:spacing w:before="0" w:beforeAutospacing="0" w:after="0" w:afterAutospacing="0"/>
              <w:jc w:val="center"/>
              <w:rPr>
                <w:highlight w:val="none"/>
              </w:rPr>
            </w:pPr>
            <w:r>
              <w:rPr>
                <w:rFonts w:hint="eastAsia"/>
                <w:highlight w:val="none"/>
              </w:rPr>
              <w:t>10</w:t>
            </w:r>
          </w:p>
        </w:tc>
        <w:tc>
          <w:tcPr>
            <w:tcW w:w="1523" w:type="dxa"/>
            <w:tcMar>
              <w:top w:w="75" w:type="dxa"/>
              <w:left w:w="150" w:type="dxa"/>
              <w:bottom w:w="75" w:type="dxa"/>
              <w:right w:w="150" w:type="dxa"/>
            </w:tcMar>
            <w:vAlign w:val="center"/>
          </w:tcPr>
          <w:p>
            <w:pPr>
              <w:pStyle w:val="28"/>
              <w:spacing w:before="0" w:beforeAutospacing="0" w:after="0" w:afterAutospacing="0"/>
              <w:rPr>
                <w:highlight w:val="none"/>
              </w:rPr>
            </w:pPr>
            <w:r>
              <w:rPr>
                <w:rFonts w:hint="eastAsia"/>
                <w:highlight w:val="none"/>
              </w:rPr>
              <w:t>  12.2</w:t>
            </w:r>
          </w:p>
        </w:tc>
        <w:tc>
          <w:tcPr>
            <w:tcW w:w="6995" w:type="dxa"/>
            <w:tcMar>
              <w:top w:w="75" w:type="dxa"/>
              <w:left w:w="150" w:type="dxa"/>
              <w:bottom w:w="75" w:type="dxa"/>
              <w:right w:w="150" w:type="dxa"/>
            </w:tcMar>
            <w:vAlign w:val="center"/>
          </w:tcPr>
          <w:p>
            <w:pPr>
              <w:pStyle w:val="28"/>
              <w:spacing w:before="0" w:beforeAutospacing="0" w:after="0" w:afterAutospacing="0"/>
              <w:rPr>
                <w:highlight w:val="none"/>
              </w:rPr>
            </w:pPr>
            <w:r>
              <w:rPr>
                <w:rStyle w:val="38"/>
                <w:rFonts w:hint="eastAsia"/>
                <w:highlight w:val="none"/>
              </w:rPr>
              <w:t>本项目中标人的确定（以合同包为单位）：</w:t>
            </w:r>
          </w:p>
          <w:p>
            <w:pPr>
              <w:pStyle w:val="28"/>
              <w:spacing w:before="0" w:beforeAutospacing="0" w:after="0" w:afterAutospacing="0"/>
              <w:rPr>
                <w:highlight w:val="none"/>
              </w:rPr>
            </w:pPr>
            <w:r>
              <w:rPr>
                <w:rFonts w:hint="eastAsia"/>
                <w:highlight w:val="none"/>
              </w:rPr>
              <w:t>（1）采购人应在采购招投标管理办法规定的时限内确定中标人。</w:t>
            </w:r>
          </w:p>
          <w:p>
            <w:pPr>
              <w:pStyle w:val="28"/>
              <w:spacing w:before="0" w:beforeAutospacing="0" w:after="0" w:afterAutospacing="0"/>
              <w:rPr>
                <w:highlight w:val="none"/>
              </w:rPr>
            </w:pPr>
            <w:r>
              <w:rPr>
                <w:rFonts w:hint="eastAsia"/>
                <w:highlight w:val="none"/>
              </w:rPr>
              <w:t>（2）若出现中标候选人并列情形，则按照下列方式确定中标人：</w:t>
            </w:r>
          </w:p>
          <w:p>
            <w:pPr>
              <w:pStyle w:val="28"/>
              <w:spacing w:before="0" w:beforeAutospacing="0" w:after="0" w:afterAutospacing="0"/>
              <w:rPr>
                <w:highlight w:val="none"/>
              </w:rPr>
            </w:pPr>
            <w:r>
              <w:rPr>
                <w:rFonts w:hint="eastAsia"/>
                <w:highlight w:val="none"/>
              </w:rPr>
              <w:t>①招标文件规定的方式：无。。</w:t>
            </w:r>
          </w:p>
          <w:p>
            <w:pPr>
              <w:pStyle w:val="28"/>
              <w:spacing w:before="0" w:beforeAutospacing="0" w:after="0" w:afterAutospacing="0"/>
              <w:rPr>
                <w:highlight w:val="none"/>
              </w:rPr>
            </w:pPr>
            <w:r>
              <w:rPr>
                <w:rFonts w:hint="eastAsia"/>
                <w:highlight w:val="none"/>
              </w:rPr>
              <w:t>②若本款第①点规定方式为“无”，则按照下列方式确定：无。。</w:t>
            </w:r>
          </w:p>
          <w:p>
            <w:pPr>
              <w:pStyle w:val="28"/>
              <w:spacing w:before="0" w:beforeAutospacing="0" w:after="0" w:afterAutospacing="0"/>
              <w:rPr>
                <w:highlight w:val="none"/>
              </w:rPr>
            </w:pPr>
            <w:r>
              <w:rPr>
                <w:rFonts w:hint="eastAsia"/>
                <w:highlight w:val="none"/>
              </w:rPr>
              <w:t>③若本款第①、②点规定方式均为“无”，则按照下列方式确定：随机抽取。</w:t>
            </w:r>
          </w:p>
          <w:p>
            <w:pPr>
              <w:pStyle w:val="28"/>
              <w:spacing w:before="0" w:beforeAutospacing="0" w:after="0" w:afterAutospacing="0"/>
              <w:rPr>
                <w:highlight w:val="none"/>
              </w:rPr>
            </w:pPr>
            <w:r>
              <w:rPr>
                <w:rFonts w:hint="eastAsia"/>
                <w:highlight w:val="none"/>
              </w:rPr>
              <w:t>（3）本项目确定的中标人家数：</w:t>
            </w:r>
          </w:p>
          <w:p>
            <w:pPr>
              <w:pStyle w:val="28"/>
              <w:spacing w:before="0" w:beforeAutospacing="0" w:after="0" w:afterAutospacing="0"/>
              <w:rPr>
                <w:highlight w:val="none"/>
              </w:rPr>
            </w:pPr>
            <w:r>
              <w:rPr>
                <w:rFonts w:hint="eastAsia"/>
                <w:highlight w:val="none"/>
              </w:rPr>
              <w:t>①本项目确定合同包1中标人数为1家；</w:t>
            </w:r>
          </w:p>
          <w:p>
            <w:pPr>
              <w:pStyle w:val="28"/>
              <w:spacing w:before="0" w:beforeAutospacing="0" w:after="0" w:afterAutospacing="0"/>
              <w:rPr>
                <w:highlight w:val="none"/>
              </w:rPr>
            </w:pPr>
            <w:r>
              <w:rPr>
                <w:rFonts w:hint="eastAsia"/>
                <w:highlight w:val="none"/>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11</w:t>
            </w:r>
          </w:p>
        </w:tc>
        <w:tc>
          <w:tcPr>
            <w:tcW w:w="1523" w:type="dxa"/>
            <w:tcMar>
              <w:top w:w="0" w:type="dxa"/>
              <w:left w:w="105" w:type="dxa"/>
              <w:bottom w:w="0" w:type="dxa"/>
              <w:right w:w="105" w:type="dxa"/>
            </w:tcMar>
            <w:vAlign w:val="center"/>
          </w:tcPr>
          <w:p>
            <w:pPr>
              <w:pStyle w:val="28"/>
              <w:spacing w:before="0" w:beforeAutospacing="0" w:after="0" w:afterAutospacing="0"/>
              <w:rPr>
                <w:highlight w:val="none"/>
              </w:rPr>
            </w:pPr>
            <w:r>
              <w:rPr>
                <w:rFonts w:hint="eastAsia"/>
                <w:highlight w:val="none"/>
              </w:rPr>
              <w:t> 15.1-（2）</w:t>
            </w:r>
          </w:p>
        </w:tc>
        <w:tc>
          <w:tcPr>
            <w:tcW w:w="6995" w:type="dxa"/>
            <w:tcMar>
              <w:top w:w="0" w:type="dxa"/>
              <w:left w:w="105" w:type="dxa"/>
              <w:bottom w:w="0" w:type="dxa"/>
              <w:right w:w="105" w:type="dxa"/>
            </w:tcMar>
            <w:vAlign w:val="center"/>
          </w:tcPr>
          <w:p>
            <w:pPr>
              <w:pStyle w:val="28"/>
              <w:wordWrap w:val="0"/>
              <w:spacing w:before="0" w:beforeAutospacing="0" w:after="0" w:afterAutospacing="0"/>
              <w:rPr>
                <w:highlight w:val="none"/>
              </w:rPr>
            </w:pPr>
            <w:r>
              <w:rPr>
                <w:rStyle w:val="38"/>
                <w:rFonts w:hint="eastAsia"/>
                <w:highlight w:val="none"/>
              </w:rPr>
              <w:t>质疑函原件应采用下列方式提交：</w:t>
            </w:r>
            <w:r>
              <w:rPr>
                <w:rFonts w:hint="eastAsia"/>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12</w:t>
            </w:r>
          </w:p>
        </w:tc>
        <w:tc>
          <w:tcPr>
            <w:tcW w:w="1523" w:type="dxa"/>
            <w:tcMar>
              <w:top w:w="0" w:type="dxa"/>
              <w:left w:w="105" w:type="dxa"/>
              <w:bottom w:w="0" w:type="dxa"/>
              <w:right w:w="105" w:type="dxa"/>
            </w:tcMar>
            <w:vAlign w:val="center"/>
          </w:tcPr>
          <w:p>
            <w:pPr>
              <w:pStyle w:val="28"/>
              <w:spacing w:before="0" w:beforeAutospacing="0" w:after="0" w:afterAutospacing="0"/>
              <w:rPr>
                <w:highlight w:val="none"/>
              </w:rPr>
            </w:pPr>
            <w:r>
              <w:rPr>
                <w:rFonts w:hint="eastAsia"/>
                <w:highlight w:val="none"/>
              </w:rPr>
              <w:t> </w:t>
            </w:r>
          </w:p>
          <w:p>
            <w:pPr>
              <w:pStyle w:val="28"/>
              <w:spacing w:before="0" w:beforeAutospacing="0" w:after="0" w:afterAutospacing="0"/>
              <w:rPr>
                <w:highlight w:val="none"/>
              </w:rPr>
            </w:pPr>
            <w:r>
              <w:rPr>
                <w:rFonts w:hint="eastAsia"/>
                <w:highlight w:val="none"/>
              </w:rPr>
              <w:t>   15.4</w:t>
            </w:r>
          </w:p>
          <w:p>
            <w:pPr>
              <w:pStyle w:val="28"/>
              <w:spacing w:before="0" w:beforeAutospacing="0" w:after="0" w:afterAutospacing="0"/>
              <w:rPr>
                <w:highlight w:val="none"/>
              </w:rPr>
            </w:pPr>
            <w:r>
              <w:rPr>
                <w:rFonts w:hint="eastAsia"/>
                <w:highlight w:val="none"/>
              </w:rPr>
              <w:t> </w:t>
            </w:r>
          </w:p>
          <w:p>
            <w:pPr>
              <w:pStyle w:val="28"/>
              <w:spacing w:before="0" w:beforeAutospacing="0" w:after="0" w:afterAutospacing="0"/>
              <w:jc w:val="center"/>
              <w:rPr>
                <w:highlight w:val="none"/>
              </w:rPr>
            </w:pPr>
            <w:r>
              <w:rPr>
                <w:rFonts w:hint="eastAsia"/>
                <w:highlight w:val="none"/>
              </w:rPr>
              <w:t> </w:t>
            </w:r>
          </w:p>
        </w:tc>
        <w:tc>
          <w:tcPr>
            <w:tcW w:w="6995" w:type="dxa"/>
            <w:tcMar>
              <w:top w:w="0" w:type="dxa"/>
              <w:left w:w="105" w:type="dxa"/>
              <w:bottom w:w="0" w:type="dxa"/>
              <w:right w:w="105" w:type="dxa"/>
            </w:tcMar>
            <w:vAlign w:val="center"/>
          </w:tcPr>
          <w:p>
            <w:pPr>
              <w:pStyle w:val="28"/>
              <w:spacing w:before="0" w:beforeAutospacing="0" w:after="0" w:afterAutospacing="0"/>
              <w:rPr>
                <w:highlight w:val="none"/>
              </w:rPr>
            </w:pPr>
            <w:r>
              <w:rPr>
                <w:rStyle w:val="38"/>
                <w:rFonts w:hint="eastAsia"/>
                <w:highlight w:val="none"/>
              </w:rPr>
              <w:t>招标文件的质疑</w:t>
            </w:r>
          </w:p>
          <w:p>
            <w:pPr>
              <w:pStyle w:val="28"/>
              <w:spacing w:before="0" w:beforeAutospacing="0" w:after="0" w:afterAutospacing="0"/>
              <w:rPr>
                <w:highlight w:val="none"/>
              </w:rPr>
            </w:pPr>
            <w:r>
              <w:rPr>
                <w:rFonts w:hint="eastAsia"/>
                <w:highlight w:val="none"/>
              </w:rPr>
              <w:t>（1）潜在投标人可在质疑时效期间内对招标文件以书面形式提出质疑。</w:t>
            </w:r>
          </w:p>
          <w:p>
            <w:pPr>
              <w:pStyle w:val="28"/>
              <w:spacing w:before="0" w:beforeAutospacing="0" w:after="0" w:afterAutospacing="0"/>
              <w:rPr>
                <w:highlight w:val="none"/>
              </w:rPr>
            </w:pPr>
            <w:r>
              <w:rPr>
                <w:rFonts w:hint="eastAsia"/>
                <w:highlight w:val="none"/>
              </w:rPr>
              <w:t>（2）质疑时效期间：</w:t>
            </w:r>
          </w:p>
          <w:p>
            <w:pPr>
              <w:pStyle w:val="28"/>
              <w:spacing w:before="0" w:beforeAutospacing="0" w:after="0" w:afterAutospacing="0"/>
              <w:rPr>
                <w:highlight w:val="none"/>
              </w:rPr>
            </w:pPr>
            <w:r>
              <w:rPr>
                <w:rFonts w:hint="eastAsia"/>
                <w:highlight w:val="none"/>
              </w:rPr>
              <w:t>①在招标文件公告期限内：自招标文件购买之日起7个工作日内向</w:t>
            </w:r>
            <w:r>
              <w:rPr>
                <w:rFonts w:hint="eastAsia"/>
                <w:highlight w:val="none"/>
                <w:u w:val="single"/>
              </w:rPr>
              <w:t>福建中福天缘工程造价咨询有限公司</w:t>
            </w:r>
            <w:r>
              <w:rPr>
                <w:rFonts w:hint="eastAsia"/>
                <w:highlight w:val="none"/>
              </w:rPr>
              <w:t>提出，招标文件公告期限、购买均以网上公开信息系统记载的为准。</w:t>
            </w:r>
          </w:p>
          <w:p>
            <w:pPr>
              <w:pStyle w:val="28"/>
              <w:spacing w:before="0" w:beforeAutospacing="0" w:after="0" w:afterAutospacing="0"/>
              <w:rPr>
                <w:highlight w:val="none"/>
              </w:rPr>
            </w:pPr>
            <w:r>
              <w:rPr>
                <w:rFonts w:hint="eastAsia"/>
                <w:highlight w:val="none"/>
              </w:rPr>
              <w:t>②在招标文件公告期限截止后至招标文件提供期限届满前的期间内：自招标文件公告期限届满之日起7个工作日内向</w:t>
            </w:r>
            <w:r>
              <w:rPr>
                <w:rFonts w:hint="eastAsia"/>
                <w:highlight w:val="none"/>
                <w:u w:val="single"/>
              </w:rPr>
              <w:t>福建中福天缘工程造价咨询有限公司</w:t>
            </w:r>
            <w:r>
              <w:rPr>
                <w:rFonts w:hint="eastAsia"/>
                <w:highlight w:val="none"/>
              </w:rPr>
              <w:t>提出，招标文件公告期限、招标文件提供期限均以网上公开信息系统记载的为准。</w:t>
            </w:r>
          </w:p>
          <w:p>
            <w:pPr>
              <w:pStyle w:val="28"/>
              <w:spacing w:before="0" w:beforeAutospacing="0" w:after="0" w:afterAutospacing="0"/>
              <w:rPr>
                <w:highlight w:val="none"/>
              </w:rPr>
            </w:pPr>
            <w:r>
              <w:rPr>
                <w:rStyle w:val="38"/>
                <w:rFonts w:hint="eastAsia"/>
                <w:highlight w:val="none"/>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13</w:t>
            </w: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16.1</w:t>
            </w:r>
          </w:p>
        </w:tc>
        <w:tc>
          <w:tcPr>
            <w:tcW w:w="6995" w:type="dxa"/>
            <w:tcMar>
              <w:top w:w="0" w:type="dxa"/>
              <w:left w:w="105" w:type="dxa"/>
              <w:bottom w:w="0" w:type="dxa"/>
              <w:right w:w="105" w:type="dxa"/>
            </w:tcMar>
            <w:vAlign w:val="center"/>
          </w:tcPr>
          <w:p>
            <w:pPr>
              <w:pStyle w:val="28"/>
              <w:spacing w:before="0" w:beforeAutospacing="0" w:after="0" w:afterAutospacing="0"/>
              <w:rPr>
                <w:highlight w:val="none"/>
              </w:rPr>
            </w:pPr>
            <w:r>
              <w:rPr>
                <w:rStyle w:val="38"/>
                <w:rFonts w:hint="eastAsia"/>
                <w:highlight w:val="none"/>
              </w:rPr>
              <w:t>监督管理部门：</w:t>
            </w:r>
            <w:r>
              <w:rPr>
                <w:rFonts w:hint="eastAsia"/>
                <w:highlight w:val="none"/>
              </w:rPr>
              <w:t>永安市自来水公司。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14</w:t>
            </w: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18.1</w:t>
            </w:r>
          </w:p>
        </w:tc>
        <w:tc>
          <w:tcPr>
            <w:tcW w:w="6995" w:type="dxa"/>
            <w:tcMar>
              <w:top w:w="0" w:type="dxa"/>
              <w:left w:w="105" w:type="dxa"/>
              <w:bottom w:w="0" w:type="dxa"/>
              <w:right w:w="105" w:type="dxa"/>
            </w:tcMar>
            <w:vAlign w:val="center"/>
          </w:tcPr>
          <w:p>
            <w:pPr>
              <w:pStyle w:val="28"/>
              <w:wordWrap w:val="0"/>
              <w:spacing w:before="0" w:beforeAutospacing="0" w:after="0" w:afterAutospacing="0"/>
              <w:rPr>
                <w:highlight w:val="none"/>
              </w:rPr>
            </w:pPr>
            <w:r>
              <w:rPr>
                <w:rStyle w:val="38"/>
                <w:rFonts w:hint="eastAsia"/>
                <w:highlight w:val="none"/>
              </w:rPr>
              <w:t>指定媒体：</w:t>
            </w:r>
          </w:p>
          <w:p>
            <w:pPr>
              <w:pStyle w:val="28"/>
              <w:wordWrap w:val="0"/>
              <w:spacing w:before="0" w:beforeAutospacing="0" w:after="0" w:afterAutospacing="0"/>
              <w:rPr>
                <w:highlight w:val="none"/>
              </w:rPr>
            </w:pPr>
            <w:r>
              <w:rPr>
                <w:rFonts w:hint="eastAsia"/>
                <w:highlight w:val="none"/>
              </w:rPr>
              <w:t>福建省公共资源交易电子公共服务平台，网址https://ggzyfw.fujian.gov.cn/。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780"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15</w:t>
            </w:r>
          </w:p>
        </w:tc>
        <w:tc>
          <w:tcPr>
            <w:tcW w:w="1523" w:type="dxa"/>
            <w:tcMar>
              <w:top w:w="0" w:type="dxa"/>
              <w:left w:w="105" w:type="dxa"/>
              <w:bottom w:w="0" w:type="dxa"/>
              <w:right w:w="105" w:type="dxa"/>
            </w:tcMar>
            <w:vAlign w:val="center"/>
          </w:tcPr>
          <w:p>
            <w:pPr>
              <w:pStyle w:val="28"/>
              <w:spacing w:before="0" w:beforeAutospacing="0" w:after="0" w:afterAutospacing="0"/>
              <w:jc w:val="center"/>
              <w:rPr>
                <w:highlight w:val="none"/>
              </w:rPr>
            </w:pPr>
            <w:r>
              <w:rPr>
                <w:rFonts w:hint="eastAsia"/>
                <w:highlight w:val="none"/>
              </w:rPr>
              <w:t>19</w:t>
            </w:r>
          </w:p>
        </w:tc>
        <w:tc>
          <w:tcPr>
            <w:tcW w:w="6995" w:type="dxa"/>
            <w:tcMar>
              <w:top w:w="0" w:type="dxa"/>
              <w:left w:w="105" w:type="dxa"/>
              <w:bottom w:w="0" w:type="dxa"/>
              <w:right w:w="105" w:type="dxa"/>
            </w:tcMar>
            <w:vAlign w:val="center"/>
          </w:tcPr>
          <w:p>
            <w:pPr>
              <w:pStyle w:val="28"/>
              <w:wordWrap w:val="0"/>
              <w:spacing w:before="0" w:beforeAutospacing="0" w:after="0" w:afterAutospacing="0"/>
              <w:rPr>
                <w:highlight w:val="none"/>
              </w:rPr>
            </w:pPr>
            <w:r>
              <w:rPr>
                <w:rStyle w:val="38"/>
                <w:rFonts w:hint="eastAsia"/>
                <w:highlight w:val="none"/>
              </w:rPr>
              <w:t>其他事项：</w:t>
            </w:r>
          </w:p>
          <w:p>
            <w:pPr>
              <w:pStyle w:val="28"/>
              <w:wordWrap w:val="0"/>
              <w:spacing w:before="0" w:beforeAutospacing="0" w:after="0" w:afterAutospacing="0"/>
              <w:rPr>
                <w:highlight w:val="none"/>
              </w:rPr>
            </w:pPr>
            <w:r>
              <w:rPr>
                <w:rStyle w:val="38"/>
                <w:rFonts w:hint="eastAsia"/>
                <w:highlight w:val="none"/>
              </w:rPr>
              <w:t>(1)本项目代理服务费由</w:t>
            </w:r>
            <w:r>
              <w:rPr>
                <w:rFonts w:hint="eastAsia"/>
                <w:highlight w:val="none"/>
              </w:rPr>
              <w:t>中标方</w:t>
            </w:r>
            <w:r>
              <w:rPr>
                <w:rStyle w:val="38"/>
                <w:rFonts w:hint="eastAsia"/>
                <w:highlight w:val="none"/>
              </w:rPr>
              <w:t>支付。</w:t>
            </w:r>
            <w:r>
              <w:rPr>
                <w:rStyle w:val="38"/>
                <w:rFonts w:hint="eastAsia"/>
                <w:highlight w:val="none"/>
              </w:rPr>
              <w:br w:type="textWrapping"/>
            </w:r>
            <w:r>
              <w:rPr>
                <w:rStyle w:val="38"/>
                <w:rFonts w:hint="eastAsia"/>
                <w:highlight w:val="none"/>
              </w:rPr>
              <w:t>(2)其他：</w:t>
            </w:r>
            <w:r>
              <w:rPr>
                <w:rStyle w:val="38"/>
                <w:rFonts w:hint="eastAsia"/>
                <w:b w:val="0"/>
                <w:highlight w:val="none"/>
              </w:rPr>
              <w:t>1）</w:t>
            </w:r>
            <w:r>
              <w:rPr>
                <w:rStyle w:val="38"/>
                <w:rFonts w:hint="eastAsia"/>
                <w:b w:val="0"/>
                <w:bCs w:val="0"/>
                <w:highlight w:val="none"/>
              </w:rPr>
              <w:t>中标方应当在领取中标通知书前，根据《国家发展改革委办公厅关于招标代 理服务收费有关问题的通知》规定的收费标准（100万元以下的部分按1.5%收取，100万元～500万元的部分按货物类1.1%、服务类0.8%收取）的30%向招标代理机构缴纳招标服务费，缴后不退(中标服务费及招标过程的相关费用由中标方出）。 2）相关费用交纳帐户： 开 户 名：福建省中福工程造价咨询有限公司三明分公司， 帐 号：</w:t>
            </w:r>
            <w:r>
              <w:rPr>
                <w:rStyle w:val="38"/>
                <w:b w:val="0"/>
                <w:bCs w:val="0"/>
                <w:highlight w:val="none"/>
              </w:rPr>
              <w:t>935003010008080018</w:t>
            </w:r>
            <w:r>
              <w:rPr>
                <w:rStyle w:val="38"/>
                <w:rFonts w:hint="eastAsia"/>
                <w:b w:val="0"/>
                <w:bCs w:val="0"/>
                <w:highlight w:val="none"/>
              </w:rPr>
              <w:t>， 开 户 行：中国邮政储蓄银行股份有限公司三明市梅列区支行 。 3） 退还中标方保证金要求：中标人与采购单位双方签订合同并盖章后，并将纸质合同原件送招标代理公司留存备案一份。</w:t>
            </w:r>
          </w:p>
        </w:tc>
      </w:tr>
    </w:tbl>
    <w:p>
      <w:pPr>
        <w:pStyle w:val="28"/>
        <w:spacing w:before="75" w:beforeAutospacing="0" w:after="75" w:afterAutospacing="0"/>
        <w:jc w:val="both"/>
        <w:rPr>
          <w:rStyle w:val="38"/>
          <w:sz w:val="31"/>
          <w:szCs w:val="31"/>
          <w:highlight w:val="none"/>
        </w:rPr>
      </w:pPr>
    </w:p>
    <w:p>
      <w:pPr>
        <w:pStyle w:val="28"/>
        <w:spacing w:before="75" w:beforeAutospacing="0" w:after="75" w:afterAutospacing="0"/>
        <w:jc w:val="both"/>
        <w:rPr>
          <w:rStyle w:val="38"/>
          <w:sz w:val="31"/>
          <w:szCs w:val="31"/>
          <w:highlight w:val="none"/>
        </w:rPr>
      </w:pPr>
    </w:p>
    <w:p>
      <w:pPr>
        <w:pStyle w:val="28"/>
        <w:spacing w:before="75" w:beforeAutospacing="0" w:after="75" w:afterAutospacing="0"/>
        <w:jc w:val="both"/>
        <w:rPr>
          <w:rStyle w:val="38"/>
          <w:sz w:val="31"/>
          <w:szCs w:val="31"/>
          <w:highlight w:val="none"/>
        </w:rPr>
      </w:pPr>
    </w:p>
    <w:p>
      <w:pPr>
        <w:pStyle w:val="28"/>
        <w:spacing w:before="75" w:beforeAutospacing="0" w:after="75" w:afterAutospacing="0"/>
        <w:jc w:val="both"/>
        <w:rPr>
          <w:rStyle w:val="38"/>
          <w:sz w:val="31"/>
          <w:szCs w:val="31"/>
          <w:highlight w:val="none"/>
        </w:rPr>
      </w:pPr>
    </w:p>
    <w:p>
      <w:pPr>
        <w:pStyle w:val="28"/>
        <w:spacing w:before="75" w:beforeAutospacing="0" w:after="75" w:afterAutospacing="0"/>
        <w:jc w:val="both"/>
        <w:rPr>
          <w:rStyle w:val="38"/>
          <w:sz w:val="31"/>
          <w:szCs w:val="31"/>
          <w:highlight w:val="none"/>
        </w:rPr>
      </w:pPr>
    </w:p>
    <w:p>
      <w:pPr>
        <w:pStyle w:val="28"/>
        <w:spacing w:before="75" w:beforeAutospacing="0" w:after="75" w:afterAutospacing="0"/>
        <w:jc w:val="both"/>
        <w:rPr>
          <w:rStyle w:val="38"/>
          <w:sz w:val="31"/>
          <w:szCs w:val="31"/>
          <w:highlight w:val="none"/>
        </w:rPr>
      </w:pPr>
    </w:p>
    <w:p>
      <w:pPr>
        <w:pStyle w:val="28"/>
        <w:spacing w:before="75" w:beforeAutospacing="0" w:after="75" w:afterAutospacing="0"/>
        <w:jc w:val="both"/>
        <w:rPr>
          <w:rStyle w:val="38"/>
          <w:sz w:val="31"/>
          <w:szCs w:val="31"/>
          <w:highlight w:val="none"/>
        </w:rPr>
      </w:pPr>
    </w:p>
    <w:p>
      <w:pPr>
        <w:pStyle w:val="28"/>
        <w:spacing w:before="75" w:beforeAutospacing="0" w:after="75" w:afterAutospacing="0"/>
        <w:jc w:val="both"/>
        <w:rPr>
          <w:rStyle w:val="38"/>
          <w:sz w:val="31"/>
          <w:szCs w:val="31"/>
          <w:highlight w:val="none"/>
        </w:rPr>
      </w:pPr>
    </w:p>
    <w:p>
      <w:pPr>
        <w:pStyle w:val="28"/>
        <w:spacing w:before="75" w:beforeAutospacing="0" w:after="75" w:afterAutospacing="0"/>
        <w:jc w:val="both"/>
        <w:rPr>
          <w:rStyle w:val="38"/>
          <w:sz w:val="31"/>
          <w:szCs w:val="31"/>
          <w:highlight w:val="none"/>
        </w:rPr>
      </w:pPr>
    </w:p>
    <w:p>
      <w:pPr>
        <w:pStyle w:val="28"/>
        <w:spacing w:before="75" w:beforeAutospacing="0" w:after="75" w:afterAutospacing="0"/>
        <w:jc w:val="both"/>
        <w:rPr>
          <w:rStyle w:val="38"/>
          <w:sz w:val="31"/>
          <w:szCs w:val="31"/>
          <w:highlight w:val="none"/>
        </w:rPr>
      </w:pPr>
    </w:p>
    <w:p>
      <w:pPr>
        <w:pStyle w:val="28"/>
        <w:spacing w:before="75" w:beforeAutospacing="0" w:after="75" w:afterAutospacing="0"/>
        <w:jc w:val="both"/>
        <w:rPr>
          <w:rStyle w:val="38"/>
          <w:sz w:val="31"/>
          <w:szCs w:val="31"/>
          <w:highlight w:val="none"/>
        </w:rPr>
      </w:pPr>
    </w:p>
    <w:p>
      <w:pPr>
        <w:pStyle w:val="28"/>
        <w:spacing w:before="75" w:beforeAutospacing="0" w:after="75" w:afterAutospacing="0"/>
        <w:jc w:val="both"/>
        <w:rPr>
          <w:rStyle w:val="38"/>
          <w:sz w:val="31"/>
          <w:szCs w:val="31"/>
          <w:highlight w:val="none"/>
        </w:rPr>
      </w:pPr>
    </w:p>
    <w:p>
      <w:pPr>
        <w:pStyle w:val="28"/>
        <w:spacing w:before="75" w:beforeAutospacing="0" w:after="75" w:afterAutospacing="0"/>
        <w:jc w:val="both"/>
        <w:rPr>
          <w:rStyle w:val="38"/>
          <w:sz w:val="31"/>
          <w:szCs w:val="31"/>
          <w:highlight w:val="none"/>
        </w:rPr>
      </w:pPr>
    </w:p>
    <w:p>
      <w:pPr>
        <w:pStyle w:val="28"/>
        <w:spacing w:before="75" w:beforeAutospacing="0" w:after="75" w:afterAutospacing="0"/>
        <w:jc w:val="center"/>
        <w:outlineLvl w:val="0"/>
        <w:rPr>
          <w:highlight w:val="none"/>
        </w:rPr>
      </w:pPr>
      <w:bookmarkStart w:id="12" w:name="_Toc10846"/>
      <w:bookmarkStart w:id="13" w:name="_Toc40254089"/>
      <w:r>
        <w:rPr>
          <w:rStyle w:val="38"/>
          <w:rFonts w:hint="eastAsia"/>
          <w:sz w:val="31"/>
          <w:szCs w:val="31"/>
          <w:highlight w:val="none"/>
        </w:rPr>
        <w:t>第三章   投标人须知</w:t>
      </w:r>
      <w:bookmarkEnd w:id="12"/>
      <w:bookmarkEnd w:id="13"/>
    </w:p>
    <w:p>
      <w:pPr>
        <w:pStyle w:val="28"/>
        <w:spacing w:before="75" w:beforeAutospacing="0" w:after="75" w:afterAutospacing="0"/>
        <w:rPr>
          <w:highlight w:val="none"/>
        </w:rPr>
      </w:pPr>
      <w:r>
        <w:rPr>
          <w:rFonts w:hint="eastAsia"/>
          <w:highlight w:val="none"/>
        </w:rPr>
        <w:t> </w:t>
      </w:r>
    </w:p>
    <w:p>
      <w:pPr>
        <w:pStyle w:val="28"/>
        <w:spacing w:before="75" w:beforeAutospacing="0" w:after="75" w:afterAutospacing="0"/>
        <w:jc w:val="center"/>
        <w:outlineLvl w:val="1"/>
        <w:rPr>
          <w:highlight w:val="none"/>
        </w:rPr>
      </w:pPr>
      <w:bookmarkStart w:id="14" w:name="_Toc16361"/>
      <w:bookmarkStart w:id="15" w:name="_Toc40254090"/>
      <w:r>
        <w:rPr>
          <w:rStyle w:val="38"/>
          <w:rFonts w:hint="eastAsia"/>
          <w:highlight w:val="none"/>
        </w:rPr>
        <w:t>一、总则</w:t>
      </w:r>
      <w:bookmarkEnd w:id="14"/>
      <w:bookmarkEnd w:id="15"/>
    </w:p>
    <w:p>
      <w:pPr>
        <w:pStyle w:val="28"/>
        <w:spacing w:before="75" w:beforeAutospacing="0" w:after="75" w:afterAutospacing="0"/>
        <w:rPr>
          <w:highlight w:val="none"/>
        </w:rPr>
      </w:pPr>
      <w:r>
        <w:rPr>
          <w:rFonts w:hint="eastAsia"/>
          <w:highlight w:val="none"/>
        </w:rPr>
        <w:t>1、适用范围</w:t>
      </w:r>
    </w:p>
    <w:p>
      <w:pPr>
        <w:pStyle w:val="28"/>
        <w:spacing w:before="75" w:beforeAutospacing="0" w:after="75" w:afterAutospacing="0"/>
        <w:rPr>
          <w:highlight w:val="none"/>
        </w:rPr>
      </w:pPr>
      <w:r>
        <w:rPr>
          <w:rFonts w:hint="eastAsia"/>
          <w:highlight w:val="none"/>
        </w:rPr>
        <w:t>1.1适用于招标文件载明项目的采购活动（以下简称：“本次采购活动”）。</w:t>
      </w:r>
    </w:p>
    <w:p>
      <w:pPr>
        <w:pStyle w:val="28"/>
        <w:spacing w:before="75" w:beforeAutospacing="0" w:after="75" w:afterAutospacing="0"/>
        <w:rPr>
          <w:highlight w:val="none"/>
        </w:rPr>
      </w:pPr>
      <w:r>
        <w:rPr>
          <w:rFonts w:hint="eastAsia"/>
          <w:highlight w:val="none"/>
        </w:rPr>
        <w:t>2、定义</w:t>
      </w:r>
    </w:p>
    <w:p>
      <w:pPr>
        <w:pStyle w:val="28"/>
        <w:spacing w:before="75" w:beforeAutospacing="0" w:after="75" w:afterAutospacing="0"/>
        <w:rPr>
          <w:highlight w:val="none"/>
        </w:rPr>
      </w:pPr>
      <w:r>
        <w:rPr>
          <w:rFonts w:hint="eastAsia"/>
          <w:highlight w:val="none"/>
        </w:rPr>
        <w:t>2.1“采购标的”指招标文件载明的需要采购的货物或服务。</w:t>
      </w:r>
    </w:p>
    <w:p>
      <w:pPr>
        <w:pStyle w:val="28"/>
        <w:spacing w:before="75" w:beforeAutospacing="0" w:after="75" w:afterAutospacing="0"/>
        <w:rPr>
          <w:highlight w:val="none"/>
        </w:rPr>
      </w:pPr>
      <w:r>
        <w:rPr>
          <w:rFonts w:hint="eastAsia"/>
          <w:highlight w:val="none"/>
        </w:rPr>
        <w:t>2.2“潜在投标人”指按照招标文件第一章第7条规定进行报名且有意向参加本项目投标的供应商。</w:t>
      </w:r>
    </w:p>
    <w:p>
      <w:pPr>
        <w:pStyle w:val="28"/>
        <w:spacing w:before="75" w:beforeAutospacing="0" w:after="75" w:afterAutospacing="0"/>
        <w:rPr>
          <w:highlight w:val="none"/>
        </w:rPr>
      </w:pPr>
      <w:r>
        <w:rPr>
          <w:rFonts w:hint="eastAsia"/>
          <w:highlight w:val="none"/>
        </w:rPr>
        <w:t>2.3“投标人”指按照招标文件第一章第7条规定进行报名并参加本项目投标的供应商。</w:t>
      </w:r>
    </w:p>
    <w:p>
      <w:pPr>
        <w:pStyle w:val="28"/>
        <w:spacing w:before="75" w:beforeAutospacing="0" w:after="75" w:afterAutospacing="0"/>
        <w:rPr>
          <w:highlight w:val="none"/>
        </w:rPr>
      </w:pPr>
      <w:r>
        <w:rPr>
          <w:rFonts w:hint="eastAsia"/>
          <w:highlight w:val="none"/>
        </w:rPr>
        <w:t>2.4“单位负责人”指单位法定代表人或法律、法规规定代表单位行使职权的主要负责人。</w:t>
      </w:r>
    </w:p>
    <w:p>
      <w:pPr>
        <w:pStyle w:val="28"/>
        <w:spacing w:before="75" w:beforeAutospacing="0" w:after="75" w:afterAutospacing="0"/>
        <w:rPr>
          <w:highlight w:val="none"/>
        </w:rPr>
      </w:pPr>
      <w:r>
        <w:rPr>
          <w:rFonts w:hint="eastAsia"/>
          <w:highlight w:val="none"/>
        </w:rPr>
        <w:t>2.5“投标人代表”指投标人的单位负责人或“单位负责人授权书”中载明的接受授权方。</w:t>
      </w:r>
    </w:p>
    <w:p>
      <w:pPr>
        <w:pStyle w:val="28"/>
        <w:spacing w:before="75" w:beforeAutospacing="0" w:after="75" w:afterAutospacing="0"/>
        <w:rPr>
          <w:highlight w:val="none"/>
        </w:rPr>
      </w:pPr>
      <w:r>
        <w:rPr>
          <w:rFonts w:hint="eastAsia"/>
          <w:highlight w:val="none"/>
        </w:rPr>
        <w:t> </w:t>
      </w:r>
    </w:p>
    <w:p>
      <w:pPr>
        <w:pStyle w:val="28"/>
        <w:spacing w:before="75" w:beforeAutospacing="0" w:after="75" w:afterAutospacing="0"/>
        <w:jc w:val="center"/>
        <w:outlineLvl w:val="1"/>
        <w:rPr>
          <w:highlight w:val="none"/>
        </w:rPr>
      </w:pPr>
      <w:bookmarkStart w:id="16" w:name="_Toc21442"/>
      <w:bookmarkStart w:id="17" w:name="_Toc40254091"/>
      <w:r>
        <w:rPr>
          <w:rStyle w:val="38"/>
          <w:rFonts w:hint="eastAsia"/>
          <w:highlight w:val="none"/>
        </w:rPr>
        <w:t>二、投标人</w:t>
      </w:r>
      <w:bookmarkEnd w:id="16"/>
      <w:bookmarkEnd w:id="17"/>
    </w:p>
    <w:p>
      <w:pPr>
        <w:pStyle w:val="28"/>
        <w:spacing w:before="75" w:beforeAutospacing="0" w:after="75" w:afterAutospacing="0"/>
        <w:rPr>
          <w:highlight w:val="none"/>
        </w:rPr>
      </w:pPr>
      <w:r>
        <w:rPr>
          <w:rFonts w:hint="eastAsia"/>
          <w:highlight w:val="none"/>
        </w:rPr>
        <w:t>3、合格投标人</w:t>
      </w:r>
    </w:p>
    <w:p>
      <w:pPr>
        <w:pStyle w:val="28"/>
        <w:spacing w:before="75" w:beforeAutospacing="0" w:after="75" w:afterAutospacing="0"/>
        <w:rPr>
          <w:highlight w:val="none"/>
        </w:rPr>
      </w:pPr>
      <w:r>
        <w:rPr>
          <w:rFonts w:hint="eastAsia"/>
          <w:highlight w:val="none"/>
        </w:rPr>
        <w:t>3.1一般规定</w:t>
      </w:r>
    </w:p>
    <w:p>
      <w:pPr>
        <w:pStyle w:val="28"/>
        <w:spacing w:before="75" w:beforeAutospacing="0" w:after="75" w:afterAutospacing="0"/>
        <w:ind w:firstLine="480"/>
        <w:rPr>
          <w:highlight w:val="none"/>
        </w:rPr>
      </w:pPr>
      <w:r>
        <w:rPr>
          <w:rFonts w:hint="eastAsia"/>
          <w:highlight w:val="none"/>
        </w:rPr>
        <w:t>（1）投标人应遵守采购法及实施条例、采购招投标管理办法、采购质疑和投诉办法及财政部、福建省财政厅有关采购文件的规定，同时还应遵守有关法律、法规和规章的强制性规定。</w:t>
      </w:r>
    </w:p>
    <w:p>
      <w:pPr>
        <w:pStyle w:val="28"/>
        <w:spacing w:before="75" w:beforeAutospacing="0" w:after="75" w:afterAutospacing="0"/>
        <w:ind w:firstLine="480"/>
        <w:rPr>
          <w:highlight w:val="none"/>
        </w:rPr>
      </w:pPr>
      <w:r>
        <w:rPr>
          <w:rFonts w:hint="eastAsia"/>
          <w:highlight w:val="none"/>
        </w:rPr>
        <w:t>（2）投标人的资格要求：详见招标文件第一章。</w:t>
      </w:r>
    </w:p>
    <w:p>
      <w:pPr>
        <w:pStyle w:val="28"/>
        <w:spacing w:before="75" w:beforeAutospacing="0" w:after="75" w:afterAutospacing="0"/>
        <w:rPr>
          <w:highlight w:val="none"/>
        </w:rPr>
      </w:pPr>
      <w:r>
        <w:rPr>
          <w:rFonts w:hint="eastAsia"/>
          <w:highlight w:val="none"/>
        </w:rPr>
        <w:t>3.2若本项目接受联合体投标且投标人为联合体，则联合体各方应遵守本章第3.1条规定，同时还应遵守下列规定：</w:t>
      </w:r>
    </w:p>
    <w:p>
      <w:pPr>
        <w:pStyle w:val="28"/>
        <w:spacing w:before="75" w:beforeAutospacing="0" w:after="75" w:afterAutospacing="0"/>
        <w:ind w:firstLine="480"/>
        <w:rPr>
          <w:highlight w:val="none"/>
        </w:rPr>
      </w:pPr>
      <w:r>
        <w:rPr>
          <w:rFonts w:hint="eastAsia"/>
          <w:highlight w:val="none"/>
        </w:rPr>
        <w:t>（1）联合体各方应提交联合体协议，联合体协议应符合招标文件规定。</w:t>
      </w:r>
    </w:p>
    <w:p>
      <w:pPr>
        <w:pStyle w:val="28"/>
        <w:spacing w:before="75" w:beforeAutospacing="0" w:after="75" w:afterAutospacing="0"/>
        <w:ind w:firstLine="480"/>
        <w:rPr>
          <w:highlight w:val="none"/>
        </w:rPr>
      </w:pPr>
      <w:r>
        <w:rPr>
          <w:rFonts w:hint="eastAsia"/>
          <w:highlight w:val="none"/>
        </w:rPr>
        <w:t>（2）联合体各方不得再单独参加或与其他供应商另外组成联合体参加同一合同项下的投标。</w:t>
      </w:r>
    </w:p>
    <w:p>
      <w:pPr>
        <w:pStyle w:val="28"/>
        <w:spacing w:before="75" w:beforeAutospacing="0" w:after="75" w:afterAutospacing="0"/>
        <w:ind w:firstLine="480"/>
        <w:rPr>
          <w:highlight w:val="none"/>
        </w:rPr>
      </w:pPr>
      <w:r>
        <w:rPr>
          <w:rFonts w:hint="eastAsia"/>
          <w:highlight w:val="none"/>
        </w:rPr>
        <w:t>（3）联合体各方应共同与采购人签订采购合同，就采购合同约定的事项对采购人承担连带责任。</w:t>
      </w:r>
    </w:p>
    <w:p>
      <w:pPr>
        <w:pStyle w:val="28"/>
        <w:spacing w:before="75" w:beforeAutospacing="0" w:after="75" w:afterAutospacing="0"/>
        <w:rPr>
          <w:highlight w:val="none"/>
        </w:rPr>
      </w:pPr>
      <w:r>
        <w:rPr>
          <w:rFonts w:hint="eastAsia"/>
          <w:highlight w:val="none"/>
        </w:rPr>
        <w:t>4、投标费用</w:t>
      </w:r>
    </w:p>
    <w:p>
      <w:pPr>
        <w:pStyle w:val="28"/>
        <w:spacing w:before="75" w:beforeAutospacing="0" w:after="75" w:afterAutospacing="0"/>
        <w:rPr>
          <w:highlight w:val="none"/>
        </w:rPr>
      </w:pPr>
      <w:r>
        <w:rPr>
          <w:rFonts w:hint="eastAsia"/>
          <w:highlight w:val="none"/>
        </w:rPr>
        <w:t>4.1除招标文件另有规定外，投标人应自行承担其参加本项目投标所涉及的一切费用。</w:t>
      </w:r>
    </w:p>
    <w:p>
      <w:pPr>
        <w:pStyle w:val="28"/>
        <w:spacing w:before="75" w:beforeAutospacing="0" w:after="75" w:afterAutospacing="0"/>
        <w:rPr>
          <w:highlight w:val="none"/>
        </w:rPr>
      </w:pPr>
      <w:r>
        <w:rPr>
          <w:rFonts w:hint="eastAsia"/>
          <w:highlight w:val="none"/>
        </w:rPr>
        <w:t> </w:t>
      </w:r>
    </w:p>
    <w:p>
      <w:pPr>
        <w:pStyle w:val="28"/>
        <w:spacing w:before="75" w:beforeAutospacing="0" w:after="75" w:afterAutospacing="0"/>
        <w:jc w:val="center"/>
        <w:outlineLvl w:val="1"/>
        <w:rPr>
          <w:highlight w:val="none"/>
        </w:rPr>
      </w:pPr>
      <w:bookmarkStart w:id="18" w:name="_Toc40254092"/>
      <w:bookmarkStart w:id="19" w:name="_Toc16117"/>
      <w:r>
        <w:rPr>
          <w:rStyle w:val="38"/>
          <w:rFonts w:hint="eastAsia"/>
          <w:highlight w:val="none"/>
        </w:rPr>
        <w:t>三、招标</w:t>
      </w:r>
      <w:bookmarkEnd w:id="18"/>
      <w:bookmarkEnd w:id="19"/>
    </w:p>
    <w:p>
      <w:pPr>
        <w:pStyle w:val="28"/>
        <w:spacing w:before="75" w:beforeAutospacing="0" w:after="75" w:afterAutospacing="0"/>
        <w:rPr>
          <w:highlight w:val="none"/>
        </w:rPr>
      </w:pPr>
      <w:r>
        <w:rPr>
          <w:rFonts w:hint="eastAsia"/>
          <w:highlight w:val="none"/>
        </w:rPr>
        <w:t>5、招标文件</w:t>
      </w:r>
    </w:p>
    <w:p>
      <w:pPr>
        <w:pStyle w:val="28"/>
        <w:spacing w:before="75" w:beforeAutospacing="0" w:after="75" w:afterAutospacing="0"/>
        <w:rPr>
          <w:highlight w:val="none"/>
        </w:rPr>
      </w:pPr>
      <w:r>
        <w:rPr>
          <w:rFonts w:hint="eastAsia"/>
          <w:highlight w:val="none"/>
        </w:rPr>
        <w:t>5.1招标文件由下述部分组成：</w:t>
      </w:r>
    </w:p>
    <w:p>
      <w:pPr>
        <w:pStyle w:val="28"/>
        <w:spacing w:before="75" w:beforeAutospacing="0" w:after="75" w:afterAutospacing="0"/>
        <w:ind w:firstLine="480"/>
        <w:rPr>
          <w:highlight w:val="none"/>
        </w:rPr>
      </w:pPr>
      <w:r>
        <w:rPr>
          <w:rFonts w:hint="eastAsia"/>
          <w:highlight w:val="none"/>
        </w:rPr>
        <w:t>（1）投标邀请</w:t>
      </w:r>
    </w:p>
    <w:p>
      <w:pPr>
        <w:pStyle w:val="28"/>
        <w:spacing w:before="75" w:beforeAutospacing="0" w:after="75" w:afterAutospacing="0"/>
        <w:ind w:firstLine="480"/>
        <w:rPr>
          <w:highlight w:val="none"/>
        </w:rPr>
      </w:pPr>
      <w:r>
        <w:rPr>
          <w:rFonts w:hint="eastAsia"/>
          <w:highlight w:val="none"/>
        </w:rPr>
        <w:t>（2）投标人须知前附表</w:t>
      </w:r>
    </w:p>
    <w:p>
      <w:pPr>
        <w:pStyle w:val="28"/>
        <w:spacing w:before="75" w:beforeAutospacing="0" w:after="75" w:afterAutospacing="0"/>
        <w:ind w:firstLine="480"/>
        <w:rPr>
          <w:highlight w:val="none"/>
        </w:rPr>
      </w:pPr>
      <w:r>
        <w:rPr>
          <w:rFonts w:hint="eastAsia"/>
          <w:highlight w:val="none"/>
        </w:rPr>
        <w:t>（3）投标人须知</w:t>
      </w:r>
    </w:p>
    <w:p>
      <w:pPr>
        <w:pStyle w:val="28"/>
        <w:spacing w:before="75" w:beforeAutospacing="0" w:after="75" w:afterAutospacing="0"/>
        <w:ind w:firstLine="480"/>
        <w:rPr>
          <w:highlight w:val="none"/>
        </w:rPr>
      </w:pPr>
      <w:r>
        <w:rPr>
          <w:rFonts w:hint="eastAsia"/>
          <w:highlight w:val="none"/>
        </w:rPr>
        <w:t>（4）资格审查与评标</w:t>
      </w:r>
    </w:p>
    <w:p>
      <w:pPr>
        <w:pStyle w:val="28"/>
        <w:spacing w:before="75" w:beforeAutospacing="0" w:after="75" w:afterAutospacing="0"/>
        <w:ind w:firstLine="480"/>
        <w:rPr>
          <w:highlight w:val="none"/>
        </w:rPr>
      </w:pPr>
      <w:r>
        <w:rPr>
          <w:rFonts w:hint="eastAsia"/>
          <w:highlight w:val="none"/>
        </w:rPr>
        <w:t>（5）招标内容及要求</w:t>
      </w:r>
    </w:p>
    <w:p>
      <w:pPr>
        <w:pStyle w:val="28"/>
        <w:spacing w:before="75" w:beforeAutospacing="0" w:after="75" w:afterAutospacing="0"/>
        <w:ind w:firstLine="480"/>
        <w:rPr>
          <w:highlight w:val="none"/>
        </w:rPr>
      </w:pPr>
      <w:r>
        <w:rPr>
          <w:rFonts w:hint="eastAsia"/>
          <w:highlight w:val="none"/>
        </w:rPr>
        <w:t>（6）采购合同（参考文本）</w:t>
      </w:r>
    </w:p>
    <w:p>
      <w:pPr>
        <w:pStyle w:val="28"/>
        <w:spacing w:before="75" w:beforeAutospacing="0" w:after="75" w:afterAutospacing="0"/>
        <w:ind w:firstLine="480"/>
        <w:rPr>
          <w:highlight w:val="none"/>
        </w:rPr>
      </w:pPr>
      <w:r>
        <w:rPr>
          <w:rFonts w:hint="eastAsia"/>
          <w:highlight w:val="none"/>
        </w:rPr>
        <w:t>（7）投标文件格式</w:t>
      </w:r>
    </w:p>
    <w:p>
      <w:pPr>
        <w:pStyle w:val="28"/>
        <w:spacing w:before="75" w:beforeAutospacing="0" w:after="75" w:afterAutospacing="0"/>
        <w:ind w:firstLine="480"/>
        <w:rPr>
          <w:highlight w:val="none"/>
        </w:rPr>
      </w:pPr>
      <w:r>
        <w:rPr>
          <w:rFonts w:hint="eastAsia"/>
          <w:highlight w:val="none"/>
        </w:rPr>
        <w:t>（8）按照招标文件规定作为招标文件组成部分的其他内容（若有）</w:t>
      </w:r>
    </w:p>
    <w:p>
      <w:pPr>
        <w:pStyle w:val="28"/>
        <w:spacing w:before="75" w:beforeAutospacing="0" w:after="75" w:afterAutospacing="0"/>
        <w:rPr>
          <w:highlight w:val="none"/>
        </w:rPr>
      </w:pPr>
      <w:r>
        <w:rPr>
          <w:rFonts w:hint="eastAsia"/>
          <w:highlight w:val="none"/>
        </w:rPr>
        <w:t>5.2招标文件的澄清或修改</w:t>
      </w:r>
    </w:p>
    <w:p>
      <w:pPr>
        <w:pStyle w:val="28"/>
        <w:spacing w:before="75" w:beforeAutospacing="0" w:after="75" w:afterAutospacing="0"/>
        <w:ind w:firstLine="480"/>
        <w:rPr>
          <w:highlight w:val="none"/>
        </w:rPr>
      </w:pPr>
      <w:r>
        <w:rPr>
          <w:rFonts w:hint="eastAsia"/>
          <w:highlight w:val="none"/>
        </w:rPr>
        <w:t>（1）</w:t>
      </w:r>
      <w:r>
        <w:rPr>
          <w:rFonts w:hint="eastAsia"/>
          <w:highlight w:val="none"/>
          <w:u w:val="single"/>
        </w:rPr>
        <w:t>福建中福天缘工程造价咨询有限公司</w:t>
      </w:r>
      <w:r>
        <w:rPr>
          <w:rFonts w:hint="eastAsia"/>
          <w:highlight w:val="none"/>
        </w:rPr>
        <w:t>可对已发出的招标文件进行必要的澄清或修改，但不得对招标文件载明的采购标的和投标人的资格要求进行改变。</w:t>
      </w:r>
    </w:p>
    <w:p>
      <w:pPr>
        <w:pStyle w:val="28"/>
        <w:spacing w:before="75" w:beforeAutospacing="0" w:after="75" w:afterAutospacing="0"/>
        <w:ind w:firstLine="480"/>
        <w:rPr>
          <w:highlight w:val="none"/>
        </w:rPr>
      </w:pPr>
      <w:r>
        <w:rPr>
          <w:rFonts w:hint="eastAsia"/>
          <w:highlight w:val="none"/>
        </w:rPr>
        <w:t>（2）除本章第5.2条第（3）款规定情形外，澄清或修改的内容可能影响投标文件编制的，</w:t>
      </w:r>
      <w:r>
        <w:rPr>
          <w:rFonts w:hint="eastAsia"/>
          <w:highlight w:val="none"/>
          <w:u w:val="single"/>
        </w:rPr>
        <w:t>福建中福天缘工程造价咨询有限公司</w:t>
      </w:r>
      <w:r>
        <w:rPr>
          <w:rFonts w:hint="eastAsia"/>
          <w:highlight w:val="none"/>
        </w:rPr>
        <w:t>将在投标截止时间至少15个日历日前，在招标文件载明的指定媒体以更正公告的形式发布澄清或修改的内容。不足15个日历日的，</w:t>
      </w:r>
      <w:r>
        <w:rPr>
          <w:rFonts w:hint="eastAsia"/>
          <w:highlight w:val="none"/>
          <w:u w:val="single"/>
        </w:rPr>
        <w:t>福建中福天缘工程造价咨询有限公司</w:t>
      </w:r>
      <w:r>
        <w:rPr>
          <w:rFonts w:hint="eastAsia"/>
          <w:highlight w:val="none"/>
        </w:rPr>
        <w:t>将顺延投标截止时间及开标时间，</w:t>
      </w:r>
      <w:r>
        <w:rPr>
          <w:rFonts w:hint="eastAsia"/>
          <w:highlight w:val="none"/>
          <w:u w:val="single"/>
        </w:rPr>
        <w:t>福建中福天缘工程造价咨询有限公司</w:t>
      </w:r>
      <w:r>
        <w:rPr>
          <w:rFonts w:hint="eastAsia"/>
          <w:highlight w:val="none"/>
        </w:rPr>
        <w:t>和投标人受原投标截止时间及开标时间制约的所有权利和义务均延长至新的投标截止时间及开标时间。</w:t>
      </w:r>
    </w:p>
    <w:p>
      <w:pPr>
        <w:pStyle w:val="28"/>
        <w:spacing w:before="75" w:beforeAutospacing="0" w:after="75" w:afterAutospacing="0"/>
        <w:ind w:firstLine="480"/>
        <w:rPr>
          <w:highlight w:val="none"/>
        </w:rPr>
      </w:pPr>
      <w:r>
        <w:rPr>
          <w:rFonts w:hint="eastAsia"/>
          <w:highlight w:val="none"/>
        </w:rPr>
        <w:t>（3）澄清或修改的内容可能改变招标文件载明的采购标的和投标人的资格要求的，本次采购活动结束，</w:t>
      </w:r>
      <w:r>
        <w:rPr>
          <w:rFonts w:hint="eastAsia"/>
          <w:highlight w:val="none"/>
          <w:u w:val="single"/>
        </w:rPr>
        <w:t>福建中福天缘工程造价咨询有限公司</w:t>
      </w:r>
      <w:r>
        <w:rPr>
          <w:rFonts w:hint="eastAsia"/>
          <w:highlight w:val="none"/>
        </w:rPr>
        <w:t>将依法组织后续采购活动（包括但不限于：重新招标、采用其他方式采购等）。</w:t>
      </w:r>
    </w:p>
    <w:p>
      <w:pPr>
        <w:pStyle w:val="28"/>
        <w:spacing w:before="75" w:beforeAutospacing="0" w:after="75" w:afterAutospacing="0"/>
        <w:rPr>
          <w:highlight w:val="none"/>
        </w:rPr>
      </w:pPr>
      <w:r>
        <w:rPr>
          <w:rFonts w:hint="eastAsia"/>
          <w:highlight w:val="none"/>
        </w:rPr>
        <w:t>6、现场考察或开标前答疑会</w:t>
      </w:r>
    </w:p>
    <w:p>
      <w:pPr>
        <w:pStyle w:val="28"/>
        <w:spacing w:before="75" w:beforeAutospacing="0" w:after="75" w:afterAutospacing="0"/>
        <w:rPr>
          <w:highlight w:val="none"/>
        </w:rPr>
      </w:pPr>
      <w:r>
        <w:rPr>
          <w:rFonts w:hint="eastAsia"/>
          <w:highlight w:val="none"/>
        </w:rPr>
        <w:t>6.1是否组织现场考察或召开开标前答疑会：详见招标文件第二章。</w:t>
      </w:r>
    </w:p>
    <w:p>
      <w:pPr>
        <w:pStyle w:val="28"/>
        <w:spacing w:before="75" w:beforeAutospacing="0" w:after="75" w:afterAutospacing="0"/>
        <w:rPr>
          <w:highlight w:val="none"/>
        </w:rPr>
      </w:pPr>
      <w:r>
        <w:rPr>
          <w:rFonts w:hint="eastAsia"/>
          <w:highlight w:val="none"/>
        </w:rPr>
        <w:t>7、更正公告</w:t>
      </w:r>
    </w:p>
    <w:p>
      <w:pPr>
        <w:pStyle w:val="28"/>
        <w:spacing w:before="75" w:beforeAutospacing="0" w:after="75" w:afterAutospacing="0"/>
        <w:rPr>
          <w:highlight w:val="none"/>
        </w:rPr>
      </w:pPr>
      <w:r>
        <w:rPr>
          <w:rFonts w:hint="eastAsia"/>
          <w:highlight w:val="none"/>
        </w:rPr>
        <w:t>7.1若</w:t>
      </w:r>
      <w:r>
        <w:rPr>
          <w:rFonts w:hint="eastAsia"/>
          <w:highlight w:val="none"/>
          <w:u w:val="single"/>
        </w:rPr>
        <w:t>福建中福天缘工程造价咨询有限公司</w:t>
      </w:r>
      <w:r>
        <w:rPr>
          <w:rFonts w:hint="eastAsia"/>
          <w:highlight w:val="none"/>
        </w:rPr>
        <w:t>发布更正公告，则更正公告及其所发布的内容或信息（包括但不限于：招标文件的澄清或修改、现场考察或答疑会的有关事宜等）</w:t>
      </w:r>
      <w:r>
        <w:rPr>
          <w:rStyle w:val="38"/>
          <w:rFonts w:hint="eastAsia"/>
          <w:highlight w:val="none"/>
        </w:rPr>
        <w:t>作为招标文件组成部分</w:t>
      </w:r>
      <w:r>
        <w:rPr>
          <w:rFonts w:hint="eastAsia"/>
          <w:highlight w:val="none"/>
        </w:rPr>
        <w:t>，对投标人具有约束力。</w:t>
      </w:r>
    </w:p>
    <w:p>
      <w:pPr>
        <w:pStyle w:val="28"/>
        <w:spacing w:before="75" w:beforeAutospacing="0" w:after="75" w:afterAutospacing="0"/>
        <w:rPr>
          <w:highlight w:val="none"/>
        </w:rPr>
      </w:pPr>
      <w:r>
        <w:rPr>
          <w:rFonts w:hint="eastAsia"/>
          <w:highlight w:val="none"/>
        </w:rPr>
        <w:t>7.2更正公告作为</w:t>
      </w:r>
      <w:r>
        <w:rPr>
          <w:rFonts w:hint="eastAsia"/>
          <w:highlight w:val="none"/>
          <w:u w:val="single"/>
        </w:rPr>
        <w:t>福建中福天缘工程造价咨询有限公司</w:t>
      </w:r>
      <w:r>
        <w:rPr>
          <w:rFonts w:hint="eastAsia"/>
          <w:highlight w:val="none"/>
        </w:rPr>
        <w:t>通知所有潜在投标人的书面形式。</w:t>
      </w:r>
    </w:p>
    <w:p>
      <w:pPr>
        <w:pStyle w:val="28"/>
        <w:spacing w:before="75" w:beforeAutospacing="0" w:after="75" w:afterAutospacing="0"/>
        <w:rPr>
          <w:highlight w:val="none"/>
        </w:rPr>
      </w:pPr>
      <w:r>
        <w:rPr>
          <w:rFonts w:hint="eastAsia"/>
          <w:highlight w:val="none"/>
        </w:rPr>
        <w:t>8、终止公告</w:t>
      </w:r>
    </w:p>
    <w:p>
      <w:pPr>
        <w:pStyle w:val="28"/>
        <w:spacing w:before="75" w:beforeAutospacing="0" w:after="75" w:afterAutospacing="0"/>
        <w:rPr>
          <w:highlight w:val="none"/>
        </w:rPr>
      </w:pPr>
      <w:r>
        <w:rPr>
          <w:rFonts w:hint="eastAsia"/>
          <w:highlight w:val="none"/>
        </w:rPr>
        <w:t>8.1若出现因重大变故导致采购任务取消情形，福建中福天缘工程造价咨询有限公司可终止招标并发布终止公告。</w:t>
      </w:r>
    </w:p>
    <w:p>
      <w:pPr>
        <w:pStyle w:val="28"/>
        <w:spacing w:before="75" w:beforeAutospacing="0" w:after="75" w:afterAutospacing="0"/>
        <w:rPr>
          <w:highlight w:val="none"/>
        </w:rPr>
      </w:pPr>
      <w:r>
        <w:rPr>
          <w:rFonts w:hint="eastAsia"/>
          <w:highlight w:val="none"/>
        </w:rPr>
        <w:t>8.2终止公告作为福建中福天缘工程造价咨询有限公司通知所有潜在投标人的书面形式。</w:t>
      </w:r>
    </w:p>
    <w:p>
      <w:pPr>
        <w:pStyle w:val="28"/>
        <w:spacing w:before="75" w:beforeAutospacing="0" w:after="75" w:afterAutospacing="0"/>
        <w:rPr>
          <w:highlight w:val="none"/>
        </w:rPr>
      </w:pPr>
      <w:r>
        <w:rPr>
          <w:rFonts w:hint="eastAsia"/>
          <w:highlight w:val="none"/>
        </w:rPr>
        <w:t> </w:t>
      </w:r>
    </w:p>
    <w:p>
      <w:pPr>
        <w:pStyle w:val="28"/>
        <w:spacing w:before="75" w:beforeAutospacing="0" w:after="75" w:afterAutospacing="0"/>
        <w:jc w:val="center"/>
        <w:outlineLvl w:val="1"/>
        <w:rPr>
          <w:highlight w:val="none"/>
        </w:rPr>
      </w:pPr>
      <w:bookmarkStart w:id="20" w:name="_Toc23698"/>
      <w:bookmarkStart w:id="21" w:name="_Toc40254093"/>
      <w:r>
        <w:rPr>
          <w:rStyle w:val="38"/>
          <w:rFonts w:hint="eastAsia"/>
          <w:highlight w:val="none"/>
        </w:rPr>
        <w:t>四、投标</w:t>
      </w:r>
      <w:bookmarkEnd w:id="20"/>
      <w:bookmarkEnd w:id="21"/>
    </w:p>
    <w:p>
      <w:pPr>
        <w:pStyle w:val="28"/>
        <w:spacing w:before="75" w:beforeAutospacing="0" w:after="75" w:afterAutospacing="0"/>
        <w:rPr>
          <w:highlight w:val="none"/>
        </w:rPr>
      </w:pPr>
      <w:r>
        <w:rPr>
          <w:rFonts w:hint="eastAsia"/>
          <w:highlight w:val="none"/>
        </w:rPr>
        <w:t>9、投标</w:t>
      </w:r>
    </w:p>
    <w:p>
      <w:pPr>
        <w:pStyle w:val="28"/>
        <w:spacing w:before="75" w:beforeAutospacing="0" w:after="75" w:afterAutospacing="0"/>
        <w:rPr>
          <w:highlight w:val="none"/>
        </w:rPr>
      </w:pPr>
      <w:r>
        <w:rPr>
          <w:rFonts w:hint="eastAsia"/>
          <w:highlight w:val="none"/>
        </w:rPr>
        <w:t>9.1投标人可对招标文件载明的全部或部分合同包进行投标。</w:t>
      </w:r>
    </w:p>
    <w:p>
      <w:pPr>
        <w:pStyle w:val="28"/>
        <w:spacing w:before="75" w:beforeAutospacing="0" w:after="75" w:afterAutospacing="0"/>
        <w:rPr>
          <w:highlight w:val="none"/>
        </w:rPr>
      </w:pPr>
      <w:r>
        <w:rPr>
          <w:rFonts w:hint="eastAsia"/>
          <w:highlight w:val="none"/>
        </w:rPr>
        <w:t>9.2投标人应对同一个合同包内的所有内容进行完整投标，否则</w:t>
      </w:r>
      <w:r>
        <w:rPr>
          <w:rStyle w:val="38"/>
          <w:rFonts w:hint="eastAsia"/>
          <w:highlight w:val="none"/>
        </w:rPr>
        <w:t>投标无效</w:t>
      </w:r>
      <w:r>
        <w:rPr>
          <w:rFonts w:hint="eastAsia"/>
          <w:highlight w:val="none"/>
        </w:rPr>
        <w:t>。</w:t>
      </w:r>
    </w:p>
    <w:p>
      <w:pPr>
        <w:pStyle w:val="28"/>
        <w:spacing w:before="75" w:beforeAutospacing="0" w:after="75" w:afterAutospacing="0"/>
        <w:rPr>
          <w:highlight w:val="none"/>
        </w:rPr>
      </w:pPr>
      <w:r>
        <w:rPr>
          <w:rFonts w:hint="eastAsia"/>
          <w:highlight w:val="none"/>
        </w:rPr>
        <w:t>9.3投标人代表只能接受一个投标人的授权参加投标，否则</w:t>
      </w:r>
      <w:r>
        <w:rPr>
          <w:rStyle w:val="38"/>
          <w:rFonts w:hint="eastAsia"/>
          <w:highlight w:val="none"/>
        </w:rPr>
        <w:t>投标无效</w:t>
      </w:r>
      <w:r>
        <w:rPr>
          <w:rFonts w:hint="eastAsia"/>
          <w:highlight w:val="none"/>
        </w:rPr>
        <w:t>。</w:t>
      </w:r>
    </w:p>
    <w:p>
      <w:pPr>
        <w:pStyle w:val="28"/>
        <w:spacing w:before="75" w:beforeAutospacing="0" w:after="75" w:afterAutospacing="0"/>
        <w:rPr>
          <w:highlight w:val="none"/>
        </w:rPr>
      </w:pPr>
      <w:r>
        <w:rPr>
          <w:rFonts w:hint="eastAsia"/>
          <w:highlight w:val="none"/>
        </w:rPr>
        <w:t>9.4单位负责人为同一人或存在直接控股、管理关系的不同供应商，不得同时参加同一合同项下的投标，否则</w:t>
      </w:r>
      <w:r>
        <w:rPr>
          <w:rStyle w:val="38"/>
          <w:rFonts w:hint="eastAsia"/>
          <w:highlight w:val="none"/>
        </w:rPr>
        <w:t>投标无效</w:t>
      </w:r>
      <w:r>
        <w:rPr>
          <w:rFonts w:hint="eastAsia"/>
          <w:highlight w:val="none"/>
        </w:rPr>
        <w:t>。</w:t>
      </w:r>
    </w:p>
    <w:p>
      <w:pPr>
        <w:pStyle w:val="28"/>
        <w:spacing w:before="75" w:beforeAutospacing="0" w:after="75" w:afterAutospacing="0"/>
        <w:rPr>
          <w:highlight w:val="none"/>
        </w:rPr>
      </w:pPr>
      <w:r>
        <w:rPr>
          <w:rFonts w:hint="eastAsia"/>
          <w:highlight w:val="none"/>
        </w:rPr>
        <w:t>9.5为本项目提供整体设计、规范编制或项目管理、监理、检测等服务的供应商，不得参加本项目除整体设计、规范编制和项目管理、监理、检测等服务外的采购活动，否则</w:t>
      </w:r>
      <w:r>
        <w:rPr>
          <w:rStyle w:val="38"/>
          <w:rFonts w:hint="eastAsia"/>
          <w:highlight w:val="none"/>
        </w:rPr>
        <w:t>投标无效</w:t>
      </w:r>
      <w:r>
        <w:rPr>
          <w:rFonts w:hint="eastAsia"/>
          <w:highlight w:val="none"/>
        </w:rPr>
        <w:t>。</w:t>
      </w:r>
    </w:p>
    <w:p>
      <w:pPr>
        <w:pStyle w:val="28"/>
        <w:spacing w:before="75" w:beforeAutospacing="0" w:after="75" w:afterAutospacing="0"/>
        <w:rPr>
          <w:highlight w:val="none"/>
        </w:rPr>
      </w:pPr>
      <w:r>
        <w:rPr>
          <w:rFonts w:hint="eastAsia"/>
          <w:highlight w:val="none"/>
        </w:rPr>
        <w:t>9.6列入失信被执行人、重大税收违法案件当事人名单、采购严重违法失信行为记录名单及其他不符合采购法第二十二条规定条件的供应商，不得参加投标，否则</w:t>
      </w:r>
      <w:r>
        <w:rPr>
          <w:rStyle w:val="38"/>
          <w:rFonts w:hint="eastAsia"/>
          <w:highlight w:val="none"/>
        </w:rPr>
        <w:t>投标无效</w:t>
      </w:r>
      <w:r>
        <w:rPr>
          <w:rFonts w:hint="eastAsia"/>
          <w:highlight w:val="none"/>
        </w:rPr>
        <w:t>。</w:t>
      </w:r>
    </w:p>
    <w:p>
      <w:pPr>
        <w:pStyle w:val="28"/>
        <w:spacing w:before="75" w:beforeAutospacing="0" w:after="75" w:afterAutospacing="0"/>
        <w:rPr>
          <w:highlight w:val="none"/>
        </w:rPr>
      </w:pPr>
      <w:r>
        <w:rPr>
          <w:rFonts w:hint="eastAsia"/>
          <w:highlight w:val="none"/>
        </w:rPr>
        <w:t>9.7有下列情形之一的，视为投标人串通投标，</w:t>
      </w:r>
      <w:r>
        <w:rPr>
          <w:rStyle w:val="38"/>
          <w:rFonts w:hint="eastAsia"/>
          <w:highlight w:val="none"/>
        </w:rPr>
        <w:t>其投标无效：</w:t>
      </w:r>
    </w:p>
    <w:p>
      <w:pPr>
        <w:pStyle w:val="28"/>
        <w:spacing w:before="75" w:beforeAutospacing="0" w:after="75" w:afterAutospacing="0"/>
        <w:ind w:firstLine="480"/>
        <w:rPr>
          <w:highlight w:val="none"/>
        </w:rPr>
      </w:pPr>
      <w:r>
        <w:rPr>
          <w:rFonts w:hint="eastAsia"/>
          <w:highlight w:val="none"/>
        </w:rPr>
        <w:t>（1）不同投标人的投标文件由同一单位或个人编制；</w:t>
      </w:r>
    </w:p>
    <w:p>
      <w:pPr>
        <w:pStyle w:val="28"/>
        <w:spacing w:before="75" w:beforeAutospacing="0" w:after="75" w:afterAutospacing="0"/>
        <w:ind w:firstLine="480"/>
        <w:rPr>
          <w:highlight w:val="none"/>
        </w:rPr>
      </w:pPr>
      <w:r>
        <w:rPr>
          <w:rFonts w:hint="eastAsia"/>
          <w:highlight w:val="none"/>
        </w:rPr>
        <w:t>（2）不同投标人委托同一单位或个人办理投标事宜；</w:t>
      </w:r>
    </w:p>
    <w:p>
      <w:pPr>
        <w:pStyle w:val="28"/>
        <w:spacing w:before="75" w:beforeAutospacing="0" w:after="75" w:afterAutospacing="0"/>
        <w:ind w:firstLine="480"/>
        <w:rPr>
          <w:highlight w:val="none"/>
        </w:rPr>
      </w:pPr>
      <w:r>
        <w:rPr>
          <w:rFonts w:hint="eastAsia"/>
          <w:highlight w:val="none"/>
        </w:rPr>
        <w:t>（3）不同投标人的投标文件载明的项目管理成员或联系人员为同一人；</w:t>
      </w:r>
    </w:p>
    <w:p>
      <w:pPr>
        <w:pStyle w:val="28"/>
        <w:spacing w:before="75" w:beforeAutospacing="0" w:after="75" w:afterAutospacing="0"/>
        <w:ind w:firstLine="480"/>
        <w:rPr>
          <w:highlight w:val="none"/>
        </w:rPr>
      </w:pPr>
      <w:r>
        <w:rPr>
          <w:rFonts w:hint="eastAsia"/>
          <w:highlight w:val="none"/>
        </w:rPr>
        <w:t>（4）不同投标人的投标文件异常一致或投标报价呈规律性差异；</w:t>
      </w:r>
    </w:p>
    <w:p>
      <w:pPr>
        <w:pStyle w:val="28"/>
        <w:spacing w:before="75" w:beforeAutospacing="0" w:after="75" w:afterAutospacing="0"/>
        <w:ind w:firstLine="480"/>
        <w:rPr>
          <w:highlight w:val="none"/>
        </w:rPr>
      </w:pPr>
      <w:r>
        <w:rPr>
          <w:rFonts w:hint="eastAsia"/>
          <w:highlight w:val="none"/>
        </w:rPr>
        <w:t>（5）不同投标人的投标文件相互混装；</w:t>
      </w:r>
    </w:p>
    <w:p>
      <w:pPr>
        <w:pStyle w:val="28"/>
        <w:spacing w:before="75" w:beforeAutospacing="0" w:after="75" w:afterAutospacing="0"/>
        <w:ind w:firstLine="480"/>
        <w:rPr>
          <w:highlight w:val="none"/>
        </w:rPr>
      </w:pPr>
      <w:r>
        <w:rPr>
          <w:rFonts w:hint="eastAsia"/>
          <w:highlight w:val="none"/>
        </w:rPr>
        <w:t>（6）不同投标人的投标保证金从同一单位或个人的账户转出；</w:t>
      </w:r>
    </w:p>
    <w:p>
      <w:pPr>
        <w:pStyle w:val="28"/>
        <w:spacing w:before="75" w:beforeAutospacing="0" w:after="75" w:afterAutospacing="0"/>
        <w:ind w:firstLine="480"/>
        <w:rPr>
          <w:highlight w:val="none"/>
        </w:rPr>
      </w:pPr>
      <w:r>
        <w:rPr>
          <w:rFonts w:hint="eastAsia"/>
          <w:highlight w:val="none"/>
        </w:rPr>
        <w:t>（7）有关法律、法规和规章及招标文件规定的其他串通投标情形。</w:t>
      </w:r>
    </w:p>
    <w:p>
      <w:pPr>
        <w:pStyle w:val="28"/>
        <w:spacing w:before="75" w:beforeAutospacing="0" w:after="75" w:afterAutospacing="0"/>
        <w:rPr>
          <w:highlight w:val="none"/>
        </w:rPr>
      </w:pPr>
      <w:r>
        <w:rPr>
          <w:rFonts w:hint="eastAsia"/>
          <w:highlight w:val="none"/>
        </w:rPr>
        <w:t>10、投标文件</w:t>
      </w:r>
    </w:p>
    <w:p>
      <w:pPr>
        <w:pStyle w:val="28"/>
        <w:spacing w:before="75" w:beforeAutospacing="0" w:after="75" w:afterAutospacing="0"/>
        <w:rPr>
          <w:highlight w:val="none"/>
        </w:rPr>
      </w:pPr>
      <w:r>
        <w:rPr>
          <w:rFonts w:hint="eastAsia"/>
          <w:highlight w:val="none"/>
        </w:rPr>
        <w:t>10.1投标文件的编制</w:t>
      </w:r>
    </w:p>
    <w:p>
      <w:pPr>
        <w:pStyle w:val="28"/>
        <w:spacing w:before="75" w:beforeAutospacing="0" w:after="75" w:afterAutospacing="0"/>
        <w:ind w:firstLine="480"/>
        <w:rPr>
          <w:highlight w:val="none"/>
        </w:rPr>
      </w:pPr>
      <w:r>
        <w:rPr>
          <w:rFonts w:hint="eastAsia"/>
          <w:highlight w:val="none"/>
        </w:rPr>
        <w:t>（1）投标人应先仔细阅读招标文件的全部内容后，再进行投标文件的编制。</w:t>
      </w:r>
    </w:p>
    <w:p>
      <w:pPr>
        <w:pStyle w:val="28"/>
        <w:spacing w:before="75" w:beforeAutospacing="0" w:after="75" w:afterAutospacing="0"/>
        <w:ind w:firstLine="480"/>
        <w:rPr>
          <w:highlight w:val="none"/>
        </w:rPr>
      </w:pPr>
      <w:r>
        <w:rPr>
          <w:rFonts w:hint="eastAsia"/>
          <w:highlight w:val="none"/>
        </w:rPr>
        <w:t>（2）投标文件应按照本章第10.2条规定编制其组成部分。</w:t>
      </w:r>
    </w:p>
    <w:p>
      <w:pPr>
        <w:pStyle w:val="28"/>
        <w:spacing w:before="75" w:beforeAutospacing="0" w:after="75" w:afterAutospacing="0"/>
        <w:ind w:firstLine="480"/>
        <w:rPr>
          <w:highlight w:val="none"/>
        </w:rPr>
      </w:pPr>
      <w:r>
        <w:rPr>
          <w:rFonts w:hint="eastAsia"/>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28"/>
        <w:spacing w:before="75" w:beforeAutospacing="0" w:after="75" w:afterAutospacing="0"/>
        <w:rPr>
          <w:highlight w:val="none"/>
        </w:rPr>
      </w:pPr>
      <w:r>
        <w:rPr>
          <w:rFonts w:hint="eastAsia"/>
          <w:highlight w:val="none"/>
        </w:rPr>
        <w:t>10.2投标文件由下述部分组成：</w:t>
      </w:r>
    </w:p>
    <w:p>
      <w:pPr>
        <w:pStyle w:val="26"/>
        <w:tabs>
          <w:tab w:val="right" w:leader="dot" w:pos="9243"/>
        </w:tabs>
        <w:rPr>
          <w:rFonts w:ascii="宋体" w:hAnsi="宋体" w:cs="宋体"/>
          <w:sz w:val="24"/>
          <w:szCs w:val="24"/>
          <w:highlight w:val="none"/>
        </w:rPr>
      </w:pPr>
      <w:r>
        <w:rPr>
          <w:highlight w:val="none"/>
        </w:rPr>
        <w:fldChar w:fldCharType="begin"/>
      </w:r>
      <w:r>
        <w:rPr>
          <w:highlight w:val="none"/>
        </w:rPr>
        <w:instrText xml:space="preserve"> HYPERLINK \l "_Toc11643" </w:instrText>
      </w:r>
      <w:r>
        <w:rPr>
          <w:highlight w:val="none"/>
        </w:rPr>
        <w:fldChar w:fldCharType="separate"/>
      </w:r>
      <w:r>
        <w:rPr>
          <w:rFonts w:hint="eastAsia" w:ascii="宋体" w:hAnsi="宋体" w:cs="宋体"/>
          <w:bCs/>
          <w:sz w:val="24"/>
          <w:szCs w:val="24"/>
          <w:highlight w:val="none"/>
        </w:rPr>
        <w:t>（1） 投 标 书</w:t>
      </w:r>
      <w:r>
        <w:rPr>
          <w:rFonts w:hint="eastAsia" w:ascii="宋体" w:hAnsi="宋体" w:cs="宋体"/>
          <w:bCs/>
          <w:sz w:val="24"/>
          <w:szCs w:val="24"/>
          <w:highlight w:val="none"/>
        </w:rPr>
        <w:fldChar w:fldCharType="end"/>
      </w:r>
    </w:p>
    <w:p>
      <w:pPr>
        <w:pStyle w:val="26"/>
        <w:tabs>
          <w:tab w:val="right" w:leader="dot" w:pos="9243"/>
        </w:tabs>
        <w:rPr>
          <w:rFonts w:ascii="宋体" w:hAnsi="宋体" w:cs="宋体"/>
          <w:sz w:val="24"/>
          <w:szCs w:val="24"/>
          <w:highlight w:val="none"/>
        </w:rPr>
      </w:pPr>
      <w:r>
        <w:rPr>
          <w:highlight w:val="none"/>
        </w:rPr>
        <w:fldChar w:fldCharType="begin"/>
      </w:r>
      <w:r>
        <w:rPr>
          <w:highlight w:val="none"/>
        </w:rPr>
        <w:instrText xml:space="preserve"> HYPERLINK \l "_Toc8532" </w:instrText>
      </w:r>
      <w:r>
        <w:rPr>
          <w:highlight w:val="none"/>
        </w:rPr>
        <w:fldChar w:fldCharType="separate"/>
      </w:r>
      <w:r>
        <w:rPr>
          <w:rFonts w:hint="eastAsia" w:ascii="宋体" w:hAnsi="宋体" w:cs="宋体"/>
          <w:sz w:val="24"/>
          <w:szCs w:val="24"/>
          <w:highlight w:val="none"/>
        </w:rPr>
        <w:t xml:space="preserve">（2） </w:t>
      </w:r>
      <w:r>
        <w:rPr>
          <w:rFonts w:hint="eastAsia" w:ascii="宋体" w:hAnsi="宋体" w:cs="宋体"/>
          <w:bCs/>
          <w:sz w:val="24"/>
          <w:szCs w:val="24"/>
          <w:highlight w:val="none"/>
        </w:rPr>
        <w:t>开标一览表</w:t>
      </w:r>
      <w:r>
        <w:rPr>
          <w:rFonts w:hint="eastAsia" w:ascii="宋体" w:hAnsi="宋体" w:cs="宋体"/>
          <w:bCs/>
          <w:sz w:val="24"/>
          <w:szCs w:val="24"/>
          <w:highlight w:val="none"/>
        </w:rPr>
        <w:fldChar w:fldCharType="end"/>
      </w:r>
    </w:p>
    <w:p>
      <w:pPr>
        <w:pStyle w:val="26"/>
        <w:tabs>
          <w:tab w:val="right" w:leader="dot" w:pos="9243"/>
        </w:tabs>
        <w:rPr>
          <w:rFonts w:ascii="宋体" w:hAnsi="宋体" w:cs="宋体"/>
          <w:bCs/>
          <w:sz w:val="24"/>
          <w:szCs w:val="24"/>
          <w:highlight w:val="none"/>
          <w:lang w:val="zh-CN"/>
        </w:rPr>
      </w:pPr>
      <w:r>
        <w:rPr>
          <w:highlight w:val="none"/>
        </w:rPr>
        <w:fldChar w:fldCharType="begin"/>
      </w:r>
      <w:r>
        <w:rPr>
          <w:highlight w:val="none"/>
        </w:rPr>
        <w:instrText xml:space="preserve"> HYPERLINK \l "_Toc29866" </w:instrText>
      </w:r>
      <w:r>
        <w:rPr>
          <w:highlight w:val="none"/>
        </w:rPr>
        <w:fldChar w:fldCharType="separate"/>
      </w:r>
      <w:r>
        <w:rPr>
          <w:rFonts w:hint="eastAsia" w:ascii="宋体" w:hAnsi="宋体" w:cs="宋体"/>
          <w:sz w:val="24"/>
          <w:szCs w:val="24"/>
          <w:highlight w:val="none"/>
        </w:rPr>
        <w:t xml:space="preserve">（3） </w:t>
      </w:r>
      <w:r>
        <w:rPr>
          <w:rFonts w:hint="eastAsia" w:ascii="宋体" w:hAnsi="宋体" w:cs="宋体"/>
          <w:bCs/>
          <w:sz w:val="24"/>
          <w:szCs w:val="24"/>
          <w:highlight w:val="none"/>
          <w:lang w:val="zh-CN"/>
        </w:rPr>
        <w:t>投标分项报价表</w:t>
      </w:r>
      <w:r>
        <w:rPr>
          <w:rFonts w:hint="eastAsia" w:ascii="宋体" w:hAnsi="宋体" w:cs="宋体"/>
          <w:bCs/>
          <w:sz w:val="24"/>
          <w:szCs w:val="24"/>
          <w:highlight w:val="none"/>
          <w:lang w:val="zh-CN"/>
        </w:rPr>
        <w:fldChar w:fldCharType="end"/>
      </w:r>
    </w:p>
    <w:p>
      <w:pPr>
        <w:numPr>
          <w:ilvl w:val="0"/>
          <w:numId w:val="7"/>
        </w:numPr>
        <w:rPr>
          <w:rFonts w:ascii="宋体" w:hAnsi="宋体" w:cs="宋体"/>
          <w:highlight w:val="none"/>
        </w:rPr>
      </w:pPr>
      <w:r>
        <w:rPr>
          <w:rFonts w:hint="eastAsia" w:ascii="宋体" w:hAnsi="宋体" w:cs="宋体"/>
          <w:bCs/>
          <w:sz w:val="24"/>
          <w:highlight w:val="none"/>
        </w:rPr>
        <w:t xml:space="preserve"> 货物说明一览表</w:t>
      </w:r>
    </w:p>
    <w:p>
      <w:pPr>
        <w:pStyle w:val="26"/>
        <w:tabs>
          <w:tab w:val="right" w:leader="dot" w:pos="9243"/>
        </w:tabs>
        <w:rPr>
          <w:rFonts w:ascii="宋体" w:hAnsi="宋体" w:cs="宋体"/>
          <w:sz w:val="24"/>
          <w:szCs w:val="24"/>
          <w:highlight w:val="none"/>
        </w:rPr>
      </w:pPr>
      <w:r>
        <w:rPr>
          <w:highlight w:val="none"/>
        </w:rPr>
        <w:fldChar w:fldCharType="begin"/>
      </w:r>
      <w:r>
        <w:rPr>
          <w:highlight w:val="none"/>
        </w:rPr>
        <w:instrText xml:space="preserve"> HYPERLINK \l "_Toc15479" </w:instrText>
      </w:r>
      <w:r>
        <w:rPr>
          <w:highlight w:val="none"/>
        </w:rPr>
        <w:fldChar w:fldCharType="separate"/>
      </w:r>
      <w:r>
        <w:rPr>
          <w:rFonts w:hint="eastAsia" w:ascii="宋体" w:hAnsi="宋体" w:cs="宋体"/>
          <w:sz w:val="24"/>
          <w:szCs w:val="24"/>
          <w:highlight w:val="none"/>
        </w:rPr>
        <w:t>（5） 货物内容和商务偏离表</w:t>
      </w:r>
      <w:r>
        <w:rPr>
          <w:rFonts w:hint="eastAsia" w:ascii="宋体" w:hAnsi="宋体" w:cs="宋体"/>
          <w:sz w:val="24"/>
          <w:szCs w:val="24"/>
          <w:highlight w:val="none"/>
        </w:rPr>
        <w:fldChar w:fldCharType="end"/>
      </w:r>
    </w:p>
    <w:p>
      <w:pPr>
        <w:pStyle w:val="26"/>
        <w:tabs>
          <w:tab w:val="right" w:leader="dot" w:pos="9243"/>
        </w:tabs>
        <w:rPr>
          <w:rFonts w:ascii="宋体" w:hAnsi="宋体" w:cs="宋体"/>
          <w:sz w:val="24"/>
          <w:szCs w:val="24"/>
          <w:highlight w:val="none"/>
        </w:rPr>
      </w:pPr>
      <w:r>
        <w:rPr>
          <w:highlight w:val="none"/>
        </w:rPr>
        <w:fldChar w:fldCharType="begin"/>
      </w:r>
      <w:r>
        <w:rPr>
          <w:highlight w:val="none"/>
        </w:rPr>
        <w:instrText xml:space="preserve"> HYPERLINK \l "_Toc29783" </w:instrText>
      </w:r>
      <w:r>
        <w:rPr>
          <w:highlight w:val="none"/>
        </w:rPr>
        <w:fldChar w:fldCharType="separate"/>
      </w:r>
      <w:r>
        <w:rPr>
          <w:rFonts w:hint="eastAsia" w:ascii="宋体" w:hAnsi="宋体" w:cs="宋体"/>
          <w:sz w:val="24"/>
          <w:szCs w:val="24"/>
          <w:highlight w:val="none"/>
        </w:rPr>
        <w:t>（6） 投标人的资格证明文件</w:t>
      </w:r>
      <w:r>
        <w:rPr>
          <w:rFonts w:hint="eastAsia" w:ascii="宋体" w:hAnsi="宋体" w:cs="宋体"/>
          <w:sz w:val="24"/>
          <w:szCs w:val="24"/>
          <w:highlight w:val="none"/>
        </w:rPr>
        <w:fldChar w:fldCharType="end"/>
      </w:r>
    </w:p>
    <w:p>
      <w:pPr>
        <w:pStyle w:val="26"/>
        <w:tabs>
          <w:tab w:val="right" w:leader="dot" w:pos="9243"/>
        </w:tabs>
        <w:rPr>
          <w:rFonts w:ascii="宋体" w:hAnsi="宋体" w:cs="宋体"/>
          <w:sz w:val="24"/>
          <w:szCs w:val="24"/>
          <w:highlight w:val="none"/>
        </w:rPr>
      </w:pPr>
      <w:r>
        <w:rPr>
          <w:highlight w:val="none"/>
        </w:rPr>
        <w:fldChar w:fldCharType="begin"/>
      </w:r>
      <w:r>
        <w:rPr>
          <w:highlight w:val="none"/>
        </w:rPr>
        <w:instrText xml:space="preserve"> HYPERLINK \l "_Toc1950" </w:instrText>
      </w:r>
      <w:r>
        <w:rPr>
          <w:highlight w:val="none"/>
        </w:rPr>
        <w:fldChar w:fldCharType="separate"/>
      </w:r>
      <w:r>
        <w:rPr>
          <w:rFonts w:hint="eastAsia" w:ascii="宋体" w:hAnsi="宋体" w:cs="宋体"/>
          <w:sz w:val="24"/>
          <w:szCs w:val="24"/>
          <w:highlight w:val="none"/>
        </w:rPr>
        <w:t>（7） 拟派出项目负责人简要情况表</w:t>
      </w:r>
      <w:r>
        <w:rPr>
          <w:rFonts w:hint="eastAsia" w:ascii="宋体" w:hAnsi="宋体" w:cs="宋体"/>
          <w:sz w:val="24"/>
          <w:szCs w:val="24"/>
          <w:highlight w:val="none"/>
        </w:rPr>
        <w:fldChar w:fldCharType="end"/>
      </w:r>
    </w:p>
    <w:p>
      <w:pPr>
        <w:pStyle w:val="26"/>
        <w:tabs>
          <w:tab w:val="right" w:leader="dot" w:pos="9243"/>
        </w:tabs>
        <w:rPr>
          <w:rFonts w:ascii="宋体" w:hAnsi="宋体" w:cs="宋体"/>
          <w:sz w:val="24"/>
          <w:szCs w:val="24"/>
          <w:highlight w:val="none"/>
        </w:rPr>
      </w:pPr>
      <w:r>
        <w:rPr>
          <w:highlight w:val="none"/>
        </w:rPr>
        <w:fldChar w:fldCharType="begin"/>
      </w:r>
      <w:r>
        <w:rPr>
          <w:highlight w:val="none"/>
        </w:rPr>
        <w:instrText xml:space="preserve"> HYPERLINK \l "_Toc273" </w:instrText>
      </w:r>
      <w:r>
        <w:rPr>
          <w:highlight w:val="none"/>
        </w:rPr>
        <w:fldChar w:fldCharType="separate"/>
      </w:r>
      <w:r>
        <w:rPr>
          <w:rFonts w:hint="eastAsia" w:ascii="宋体" w:hAnsi="宋体" w:cs="宋体"/>
          <w:sz w:val="24"/>
          <w:szCs w:val="24"/>
          <w:highlight w:val="none"/>
        </w:rPr>
        <w:t>（8） 拟派出项目技术负责人简要情况表</w:t>
      </w:r>
      <w:r>
        <w:rPr>
          <w:rFonts w:hint="eastAsia" w:ascii="宋体" w:hAnsi="宋体" w:cs="宋体"/>
          <w:sz w:val="24"/>
          <w:szCs w:val="24"/>
          <w:highlight w:val="none"/>
        </w:rPr>
        <w:fldChar w:fldCharType="end"/>
      </w:r>
    </w:p>
    <w:p>
      <w:pPr>
        <w:pStyle w:val="26"/>
        <w:tabs>
          <w:tab w:val="right" w:leader="dot" w:pos="9243"/>
        </w:tabs>
        <w:rPr>
          <w:rFonts w:ascii="宋体" w:hAnsi="宋体" w:cs="宋体"/>
          <w:sz w:val="24"/>
          <w:szCs w:val="24"/>
          <w:highlight w:val="none"/>
        </w:rPr>
      </w:pPr>
      <w:r>
        <w:rPr>
          <w:highlight w:val="none"/>
        </w:rPr>
        <w:fldChar w:fldCharType="begin"/>
      </w:r>
      <w:r>
        <w:rPr>
          <w:highlight w:val="none"/>
        </w:rPr>
        <w:instrText xml:space="preserve"> HYPERLINK \l "_Toc25681" </w:instrText>
      </w:r>
      <w:r>
        <w:rPr>
          <w:highlight w:val="none"/>
        </w:rPr>
        <w:fldChar w:fldCharType="separate"/>
      </w:r>
      <w:r>
        <w:rPr>
          <w:rFonts w:hint="eastAsia" w:ascii="宋体" w:hAnsi="宋体" w:cs="宋体"/>
          <w:sz w:val="24"/>
          <w:szCs w:val="24"/>
          <w:highlight w:val="none"/>
        </w:rPr>
        <w:t>（9） 项目部施工管理人员到位承诺书</w:t>
      </w:r>
      <w:r>
        <w:rPr>
          <w:rFonts w:hint="eastAsia" w:ascii="宋体" w:hAnsi="宋体" w:cs="宋体"/>
          <w:sz w:val="24"/>
          <w:szCs w:val="24"/>
          <w:highlight w:val="none"/>
        </w:rPr>
        <w:fldChar w:fldCharType="end"/>
      </w:r>
    </w:p>
    <w:p>
      <w:pPr>
        <w:pStyle w:val="26"/>
        <w:tabs>
          <w:tab w:val="right" w:leader="dot" w:pos="9243"/>
        </w:tabs>
        <w:rPr>
          <w:rFonts w:ascii="宋体" w:hAnsi="宋体" w:cs="宋体"/>
          <w:sz w:val="24"/>
          <w:szCs w:val="24"/>
          <w:highlight w:val="none"/>
        </w:rPr>
      </w:pPr>
      <w:r>
        <w:rPr>
          <w:highlight w:val="none"/>
        </w:rPr>
        <w:fldChar w:fldCharType="begin"/>
      </w:r>
      <w:r>
        <w:rPr>
          <w:highlight w:val="none"/>
        </w:rPr>
        <w:instrText xml:space="preserve"> HYPERLINK \l "_Toc29945" </w:instrText>
      </w:r>
      <w:r>
        <w:rPr>
          <w:highlight w:val="none"/>
        </w:rPr>
        <w:fldChar w:fldCharType="separate"/>
      </w:r>
      <w:r>
        <w:rPr>
          <w:rFonts w:hint="eastAsia" w:ascii="宋体" w:hAnsi="宋体" w:cs="宋体"/>
          <w:bCs/>
          <w:sz w:val="24"/>
          <w:szCs w:val="24"/>
          <w:highlight w:val="none"/>
        </w:rPr>
        <w:t>（10） 投标</w:t>
      </w:r>
      <w:r>
        <w:rPr>
          <w:rFonts w:hint="eastAsia" w:ascii="宋体" w:hAnsi="宋体" w:cs="宋体"/>
          <w:sz w:val="24"/>
          <w:szCs w:val="24"/>
          <w:highlight w:val="none"/>
        </w:rPr>
        <w:t>人提交的其它资料</w:t>
      </w:r>
      <w:r>
        <w:rPr>
          <w:rFonts w:hint="eastAsia" w:ascii="宋体" w:hAnsi="宋体" w:cs="宋体"/>
          <w:sz w:val="24"/>
          <w:szCs w:val="24"/>
          <w:highlight w:val="none"/>
        </w:rPr>
        <w:fldChar w:fldCharType="end"/>
      </w:r>
    </w:p>
    <w:p>
      <w:pPr>
        <w:pStyle w:val="26"/>
        <w:tabs>
          <w:tab w:val="right" w:leader="dot" w:pos="9243"/>
        </w:tabs>
        <w:rPr>
          <w:rFonts w:ascii="宋体" w:hAnsi="宋体" w:cs="宋体"/>
          <w:sz w:val="24"/>
          <w:szCs w:val="24"/>
          <w:highlight w:val="none"/>
        </w:rPr>
      </w:pPr>
      <w:r>
        <w:rPr>
          <w:highlight w:val="none"/>
        </w:rPr>
        <w:fldChar w:fldCharType="begin"/>
      </w:r>
      <w:r>
        <w:rPr>
          <w:highlight w:val="none"/>
        </w:rPr>
        <w:instrText xml:space="preserve"> HYPERLINK \l "_Toc22589" </w:instrText>
      </w:r>
      <w:r>
        <w:rPr>
          <w:highlight w:val="none"/>
        </w:rPr>
        <w:fldChar w:fldCharType="separate"/>
      </w:r>
      <w:r>
        <w:rPr>
          <w:rFonts w:hint="eastAsia" w:ascii="宋体" w:hAnsi="宋体" w:cs="宋体"/>
          <w:bCs/>
          <w:sz w:val="24"/>
          <w:szCs w:val="24"/>
          <w:highlight w:val="none"/>
        </w:rPr>
        <w:t>（11）招标服务费承诺书</w:t>
      </w:r>
      <w:r>
        <w:rPr>
          <w:rFonts w:hint="eastAsia" w:ascii="宋体" w:hAnsi="宋体" w:cs="宋体"/>
          <w:bCs/>
          <w:sz w:val="24"/>
          <w:szCs w:val="24"/>
          <w:highlight w:val="none"/>
        </w:rPr>
        <w:fldChar w:fldCharType="end"/>
      </w:r>
    </w:p>
    <w:p>
      <w:pPr>
        <w:pStyle w:val="26"/>
        <w:tabs>
          <w:tab w:val="right" w:leader="dot" w:pos="9243"/>
        </w:tabs>
        <w:rPr>
          <w:rFonts w:ascii="宋体" w:hAnsi="宋体" w:cs="宋体"/>
          <w:sz w:val="24"/>
          <w:szCs w:val="24"/>
          <w:highlight w:val="none"/>
        </w:rPr>
      </w:pPr>
      <w:r>
        <w:rPr>
          <w:highlight w:val="none"/>
        </w:rPr>
        <w:fldChar w:fldCharType="begin"/>
      </w:r>
      <w:r>
        <w:rPr>
          <w:highlight w:val="none"/>
        </w:rPr>
        <w:instrText xml:space="preserve"> HYPERLINK \l "_Toc24939" </w:instrText>
      </w:r>
      <w:r>
        <w:rPr>
          <w:highlight w:val="none"/>
        </w:rPr>
        <w:fldChar w:fldCharType="separate"/>
      </w:r>
      <w:r>
        <w:rPr>
          <w:rFonts w:hint="eastAsia" w:ascii="宋体" w:hAnsi="宋体" w:cs="宋体"/>
          <w:bCs/>
          <w:sz w:val="24"/>
          <w:szCs w:val="24"/>
          <w:highlight w:val="none"/>
        </w:rPr>
        <w:t>（12）保证金提交申明函</w:t>
      </w:r>
      <w:r>
        <w:rPr>
          <w:rFonts w:hint="eastAsia" w:ascii="宋体" w:hAnsi="宋体" w:cs="宋体"/>
          <w:bCs/>
          <w:sz w:val="24"/>
          <w:szCs w:val="24"/>
          <w:highlight w:val="none"/>
        </w:rPr>
        <w:fldChar w:fldCharType="end"/>
      </w:r>
    </w:p>
    <w:p>
      <w:pPr>
        <w:pStyle w:val="26"/>
        <w:tabs>
          <w:tab w:val="right" w:leader="dot" w:pos="9243"/>
        </w:tabs>
        <w:rPr>
          <w:rFonts w:ascii="宋体" w:hAnsi="宋体" w:cs="宋体"/>
          <w:highlight w:val="none"/>
        </w:rPr>
      </w:pPr>
      <w:r>
        <w:rPr>
          <w:highlight w:val="none"/>
        </w:rPr>
        <w:fldChar w:fldCharType="begin"/>
      </w:r>
      <w:r>
        <w:rPr>
          <w:highlight w:val="none"/>
        </w:rPr>
        <w:instrText xml:space="preserve"> HYPERLINK \l "_Toc5348" </w:instrText>
      </w:r>
      <w:r>
        <w:rPr>
          <w:highlight w:val="none"/>
        </w:rPr>
        <w:fldChar w:fldCharType="separate"/>
      </w:r>
      <w:r>
        <w:rPr>
          <w:rFonts w:hint="eastAsia" w:ascii="宋体" w:hAnsi="宋体" w:cs="宋体"/>
          <w:bCs/>
          <w:sz w:val="24"/>
          <w:szCs w:val="24"/>
          <w:highlight w:val="none"/>
        </w:rPr>
        <w:t>（13）退回保证金授权函</w:t>
      </w:r>
      <w:r>
        <w:rPr>
          <w:rFonts w:hint="eastAsia" w:ascii="宋体" w:hAnsi="宋体" w:cs="宋体"/>
          <w:bCs/>
          <w:sz w:val="24"/>
          <w:szCs w:val="24"/>
          <w:highlight w:val="none"/>
        </w:rPr>
        <w:fldChar w:fldCharType="end"/>
      </w:r>
    </w:p>
    <w:p>
      <w:pPr>
        <w:pStyle w:val="28"/>
        <w:spacing w:before="75" w:beforeAutospacing="0" w:after="75" w:afterAutospacing="0"/>
        <w:rPr>
          <w:highlight w:val="none"/>
        </w:rPr>
      </w:pPr>
      <w:r>
        <w:rPr>
          <w:rFonts w:hint="eastAsia"/>
          <w:highlight w:val="none"/>
        </w:rPr>
        <w:t>10.3投标文件的语言</w:t>
      </w:r>
    </w:p>
    <w:p>
      <w:pPr>
        <w:pStyle w:val="28"/>
        <w:spacing w:before="75" w:beforeAutospacing="0" w:after="75" w:afterAutospacing="0"/>
        <w:ind w:firstLine="480"/>
        <w:rPr>
          <w:highlight w:val="none"/>
        </w:rPr>
      </w:pPr>
      <w:r>
        <w:rPr>
          <w:rFonts w:hint="eastAsia"/>
          <w:highlight w:val="none"/>
        </w:rPr>
        <w:t>（1）除招标文件另有规定外，投标文件应使用中文文本，若有不同文本，以中文文本为准。</w:t>
      </w:r>
    </w:p>
    <w:p>
      <w:pPr>
        <w:pStyle w:val="28"/>
        <w:spacing w:before="75" w:beforeAutospacing="0" w:after="75" w:afterAutospacing="0"/>
        <w:ind w:firstLine="480"/>
        <w:rPr>
          <w:highlight w:val="none"/>
        </w:rPr>
      </w:pPr>
      <w:r>
        <w:rPr>
          <w:rFonts w:hint="eastAsia"/>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28"/>
        <w:spacing w:before="75" w:beforeAutospacing="0" w:after="75" w:afterAutospacing="0"/>
        <w:rPr>
          <w:highlight w:val="none"/>
        </w:rPr>
      </w:pPr>
      <w:r>
        <w:rPr>
          <w:rFonts w:hint="eastAsia"/>
          <w:highlight w:val="none"/>
        </w:rPr>
        <w:t>10.4投标文件的份数：详见招标文件第二章。</w:t>
      </w:r>
    </w:p>
    <w:p>
      <w:pPr>
        <w:pStyle w:val="28"/>
        <w:spacing w:before="75" w:beforeAutospacing="0" w:after="75" w:afterAutospacing="0"/>
        <w:rPr>
          <w:highlight w:val="none"/>
        </w:rPr>
      </w:pPr>
      <w:r>
        <w:rPr>
          <w:rFonts w:hint="eastAsia"/>
          <w:highlight w:val="none"/>
        </w:rPr>
        <w:t>10.5投标文件的格式</w:t>
      </w:r>
    </w:p>
    <w:p>
      <w:pPr>
        <w:pStyle w:val="28"/>
        <w:spacing w:before="75" w:beforeAutospacing="0" w:after="75" w:afterAutospacing="0"/>
        <w:ind w:firstLine="480"/>
        <w:rPr>
          <w:highlight w:val="none"/>
        </w:rPr>
      </w:pPr>
      <w:r>
        <w:rPr>
          <w:rFonts w:hint="eastAsia"/>
          <w:highlight w:val="none"/>
        </w:rPr>
        <w:t>（1）除招标文件另有规定外，投标文件应使用招标文件第七章规定的格式。</w:t>
      </w:r>
    </w:p>
    <w:p>
      <w:pPr>
        <w:pStyle w:val="28"/>
        <w:spacing w:before="75" w:beforeAutospacing="0" w:after="75" w:afterAutospacing="0"/>
        <w:ind w:firstLine="480"/>
        <w:rPr>
          <w:highlight w:val="none"/>
        </w:rPr>
      </w:pPr>
      <w:r>
        <w:rPr>
          <w:rFonts w:hint="eastAsia"/>
          <w:highlight w:val="none"/>
        </w:rPr>
        <w:t>（2）除招标文件另有规定外，投标文件的正本和全部副本均应使用不能擦去的墨料或墨水打印、书写或复印，其中：</w:t>
      </w:r>
    </w:p>
    <w:p>
      <w:pPr>
        <w:pStyle w:val="28"/>
        <w:spacing w:before="75" w:beforeAutospacing="0" w:after="75" w:afterAutospacing="0"/>
        <w:ind w:firstLine="480"/>
        <w:rPr>
          <w:highlight w:val="none"/>
        </w:rPr>
      </w:pPr>
      <w:r>
        <w:rPr>
          <w:rFonts w:hint="eastAsia"/>
          <w:highlight w:val="none"/>
        </w:rPr>
        <w:t>①正本应用A4幅面纸张打印装订，编制封面（封面标明“正本”字样）、索引、页码，并用</w:t>
      </w:r>
      <w:r>
        <w:rPr>
          <w:rFonts w:hint="eastAsia"/>
          <w:b/>
          <w:bCs/>
          <w:highlight w:val="none"/>
        </w:rPr>
        <w:t>胶装</w:t>
      </w:r>
      <w:r>
        <w:rPr>
          <w:rFonts w:hint="eastAsia"/>
          <w:highlight w:val="none"/>
        </w:rPr>
        <w:t>装订成册。</w:t>
      </w:r>
    </w:p>
    <w:p>
      <w:pPr>
        <w:pStyle w:val="28"/>
        <w:spacing w:before="75" w:beforeAutospacing="0" w:after="75" w:afterAutospacing="0"/>
        <w:ind w:firstLine="480"/>
        <w:rPr>
          <w:highlight w:val="none"/>
        </w:rPr>
      </w:pPr>
      <w:r>
        <w:rPr>
          <w:rFonts w:hint="eastAsia"/>
          <w:highlight w:val="none"/>
        </w:rPr>
        <w:t>②副本应用A4幅面纸张打印装订，编制封面（封面标明“副本”字样）、索引、页码，并用</w:t>
      </w:r>
      <w:r>
        <w:rPr>
          <w:rFonts w:hint="eastAsia"/>
          <w:b/>
          <w:bCs/>
          <w:highlight w:val="none"/>
        </w:rPr>
        <w:t>胶装</w:t>
      </w:r>
      <w:r>
        <w:rPr>
          <w:rFonts w:hint="eastAsia"/>
          <w:highlight w:val="none"/>
        </w:rPr>
        <w:t>装订成册；副本可用正本的完整复印件，并与正本保持一致（若不一致，以正本为准）。</w:t>
      </w:r>
    </w:p>
    <w:p>
      <w:pPr>
        <w:pStyle w:val="28"/>
        <w:spacing w:before="75" w:beforeAutospacing="0" w:after="75" w:afterAutospacing="0"/>
        <w:ind w:firstLine="480"/>
        <w:rPr>
          <w:highlight w:val="none"/>
        </w:rPr>
      </w:pPr>
      <w:r>
        <w:rPr>
          <w:rFonts w:hint="eastAsia"/>
          <w:highlight w:val="none"/>
        </w:rPr>
        <w:t>③允许散装或活页装订的内容或材料：详见招标文件第二章。</w:t>
      </w:r>
    </w:p>
    <w:p>
      <w:pPr>
        <w:pStyle w:val="28"/>
        <w:spacing w:before="75" w:beforeAutospacing="0" w:after="75" w:afterAutospacing="0"/>
        <w:ind w:firstLine="480"/>
        <w:rPr>
          <w:highlight w:val="none"/>
        </w:rPr>
      </w:pPr>
      <w:r>
        <w:rPr>
          <w:rStyle w:val="38"/>
          <w:rFonts w:hint="eastAsia"/>
          <w:highlight w:val="none"/>
        </w:rPr>
        <w:t>※除本章第10.5条第（2）款第③点规定情形外，投标文件散装或活页装订将导致投标无效。</w:t>
      </w:r>
    </w:p>
    <w:p>
      <w:pPr>
        <w:pStyle w:val="28"/>
        <w:spacing w:before="75" w:beforeAutospacing="0" w:after="75" w:afterAutospacing="0"/>
        <w:ind w:firstLine="480"/>
        <w:rPr>
          <w:highlight w:val="none"/>
        </w:rPr>
      </w:pPr>
      <w:r>
        <w:rPr>
          <w:rFonts w:hint="eastAsia"/>
          <w:highlight w:val="none"/>
        </w:rPr>
        <w:t>（3）除招标文件另有规定外，投标文件应使用人民币作为计量货币。</w:t>
      </w:r>
    </w:p>
    <w:p>
      <w:pPr>
        <w:pStyle w:val="28"/>
        <w:spacing w:before="75" w:beforeAutospacing="0" w:after="75" w:afterAutospacing="0"/>
        <w:ind w:firstLine="480"/>
        <w:rPr>
          <w:highlight w:val="none"/>
        </w:rPr>
      </w:pPr>
      <w:r>
        <w:rPr>
          <w:rFonts w:hint="eastAsia"/>
          <w:highlight w:val="none"/>
        </w:rPr>
        <w:t>（4）除招标文件另有规定外，签署、盖章应遵守下列规定：</w:t>
      </w:r>
    </w:p>
    <w:p>
      <w:pPr>
        <w:pStyle w:val="28"/>
        <w:spacing w:before="75" w:beforeAutospacing="0" w:after="75" w:afterAutospacing="0"/>
        <w:ind w:firstLine="480"/>
        <w:rPr>
          <w:highlight w:val="none"/>
        </w:rPr>
      </w:pPr>
      <w:r>
        <w:rPr>
          <w:rFonts w:hint="eastAsia"/>
          <w:highlight w:val="none"/>
        </w:rPr>
        <w:t>①投标文件应由投标人代表签字并加盖投标人的单位公章。若投标人代表为单位负责人授权的委托代理人，应提供“单位负责人授权书”。</w:t>
      </w:r>
    </w:p>
    <w:p>
      <w:pPr>
        <w:pStyle w:val="28"/>
        <w:spacing w:before="75" w:beforeAutospacing="0" w:after="75" w:afterAutospacing="0"/>
        <w:ind w:firstLine="480"/>
        <w:rPr>
          <w:highlight w:val="none"/>
        </w:rPr>
      </w:pPr>
      <w:r>
        <w:rPr>
          <w:rFonts w:hint="eastAsia"/>
          <w:highlight w:val="none"/>
        </w:rPr>
        <w:t>②投标文件应没有涂改或行间插字，除非这些改动是根据</w:t>
      </w:r>
      <w:r>
        <w:rPr>
          <w:rFonts w:hint="eastAsia"/>
          <w:highlight w:val="none"/>
          <w:u w:val="single"/>
        </w:rPr>
        <w:t>福建中福天缘工程造价咨询有限公司</w:t>
      </w:r>
      <w:r>
        <w:rPr>
          <w:rFonts w:hint="eastAsia"/>
          <w:highlight w:val="none"/>
        </w:rPr>
        <w:t>的指示进行的，或是为改正投标人造成的应修改的错误而进行的。若有前述改动，应按照下列规定之一对改动处进行处理：</w:t>
      </w:r>
    </w:p>
    <w:p>
      <w:pPr>
        <w:pStyle w:val="28"/>
        <w:spacing w:before="75" w:beforeAutospacing="0" w:after="75" w:afterAutospacing="0"/>
        <w:ind w:firstLine="480"/>
        <w:rPr>
          <w:highlight w:val="none"/>
        </w:rPr>
      </w:pPr>
      <w:r>
        <w:rPr>
          <w:rFonts w:hint="eastAsia"/>
          <w:highlight w:val="none"/>
        </w:rPr>
        <w:t>a.投标人代表签字确认；</w:t>
      </w:r>
    </w:p>
    <w:p>
      <w:pPr>
        <w:pStyle w:val="28"/>
        <w:spacing w:before="75" w:beforeAutospacing="0" w:after="75" w:afterAutospacing="0"/>
        <w:ind w:firstLine="480"/>
        <w:rPr>
          <w:highlight w:val="none"/>
        </w:rPr>
      </w:pPr>
      <w:r>
        <w:rPr>
          <w:rFonts w:hint="eastAsia"/>
          <w:highlight w:val="none"/>
        </w:rPr>
        <w:t>b.加盖投标人的单位公章或校正章。</w:t>
      </w:r>
    </w:p>
    <w:p>
      <w:pPr>
        <w:pStyle w:val="28"/>
        <w:spacing w:before="75" w:beforeAutospacing="0" w:after="75" w:afterAutospacing="0"/>
        <w:rPr>
          <w:highlight w:val="none"/>
        </w:rPr>
      </w:pPr>
      <w:r>
        <w:rPr>
          <w:rFonts w:hint="eastAsia"/>
          <w:highlight w:val="none"/>
        </w:rPr>
        <w:t>10.6投标报价</w:t>
      </w:r>
    </w:p>
    <w:p>
      <w:pPr>
        <w:pStyle w:val="28"/>
        <w:spacing w:before="75" w:beforeAutospacing="0" w:after="75" w:afterAutospacing="0"/>
        <w:ind w:firstLine="480"/>
        <w:rPr>
          <w:highlight w:val="none"/>
        </w:rPr>
      </w:pPr>
      <w:r>
        <w:rPr>
          <w:rFonts w:hint="eastAsia"/>
          <w:highlight w:val="none"/>
        </w:rPr>
        <w:t>（1）投标报价超出最高限价将导致</w:t>
      </w:r>
      <w:r>
        <w:rPr>
          <w:rStyle w:val="38"/>
          <w:rFonts w:hint="eastAsia"/>
          <w:highlight w:val="none"/>
        </w:rPr>
        <w:t>投标无效。</w:t>
      </w:r>
    </w:p>
    <w:p>
      <w:pPr>
        <w:pStyle w:val="28"/>
        <w:spacing w:before="75" w:beforeAutospacing="0" w:after="75" w:afterAutospacing="0"/>
        <w:ind w:firstLine="480"/>
        <w:rPr>
          <w:highlight w:val="none"/>
        </w:rPr>
      </w:pPr>
      <w:r>
        <w:rPr>
          <w:rFonts w:hint="eastAsia"/>
          <w:highlight w:val="none"/>
        </w:rPr>
        <w:t>（2）最高限价由采购人根据价格测算情况，在预算金额的额度内合理设定。最高限价不得超出预算金额。</w:t>
      </w:r>
    </w:p>
    <w:p>
      <w:pPr>
        <w:pStyle w:val="28"/>
        <w:spacing w:before="75" w:beforeAutospacing="0" w:after="75" w:afterAutospacing="0"/>
        <w:ind w:firstLine="480"/>
        <w:rPr>
          <w:highlight w:val="none"/>
        </w:rPr>
      </w:pPr>
      <w:r>
        <w:rPr>
          <w:rFonts w:hint="eastAsia"/>
          <w:highlight w:val="none"/>
        </w:rPr>
        <w:t>（3）除招标文件另有规定外，投标文件不能出现任何选择性的投标报价，即每一个合同包和品目号的采购标的都只能有一个投标报价。任何选择性的投标报价将导致</w:t>
      </w:r>
      <w:r>
        <w:rPr>
          <w:rStyle w:val="38"/>
          <w:rFonts w:hint="eastAsia"/>
          <w:highlight w:val="none"/>
        </w:rPr>
        <w:t>投标无效。</w:t>
      </w:r>
    </w:p>
    <w:p>
      <w:pPr>
        <w:pStyle w:val="28"/>
        <w:spacing w:before="75" w:beforeAutospacing="0" w:after="75" w:afterAutospacing="0"/>
        <w:rPr>
          <w:highlight w:val="none"/>
        </w:rPr>
      </w:pPr>
      <w:r>
        <w:rPr>
          <w:rFonts w:hint="eastAsia"/>
          <w:highlight w:val="none"/>
        </w:rPr>
        <w:t>10.7分包</w:t>
      </w:r>
    </w:p>
    <w:p>
      <w:pPr>
        <w:pStyle w:val="28"/>
        <w:spacing w:before="75" w:beforeAutospacing="0" w:after="75" w:afterAutospacing="0"/>
        <w:ind w:firstLine="480"/>
        <w:rPr>
          <w:highlight w:val="none"/>
        </w:rPr>
      </w:pPr>
      <w:r>
        <w:rPr>
          <w:rFonts w:hint="eastAsia"/>
          <w:highlight w:val="none"/>
        </w:rPr>
        <w:t>（1）是否允许中标人将本项目的非主体、非关键性工作进行分包：详见招标文件第二章。</w:t>
      </w:r>
    </w:p>
    <w:p>
      <w:pPr>
        <w:pStyle w:val="28"/>
        <w:spacing w:before="75" w:beforeAutospacing="0" w:after="75" w:afterAutospacing="0"/>
        <w:ind w:firstLine="480"/>
        <w:rPr>
          <w:highlight w:val="none"/>
        </w:rPr>
      </w:pPr>
      <w:r>
        <w:rPr>
          <w:rFonts w:hint="eastAsia"/>
          <w:highlight w:val="none"/>
        </w:rPr>
        <w:t>（2）若允许中标人将本项目的非主体、非关键性工作进行分包且投标人拟在中标后进行分包，则投标人应在投标文件中载明分包承担主体，分包承担主体应具备相应资质条件（若有）且不得再次分包。</w:t>
      </w:r>
    </w:p>
    <w:p>
      <w:pPr>
        <w:pStyle w:val="28"/>
        <w:spacing w:before="75" w:beforeAutospacing="0" w:after="75" w:afterAutospacing="0"/>
        <w:ind w:firstLine="480"/>
        <w:rPr>
          <w:highlight w:val="none"/>
        </w:rPr>
      </w:pPr>
      <w:r>
        <w:rPr>
          <w:rFonts w:hint="eastAsia"/>
          <w:highlight w:val="none"/>
        </w:rPr>
        <w:t>（3）招标文件允许中标人将非主体、非关键性工作进行分包的项目，有下列情形之一的，中标人不得分包：</w:t>
      </w:r>
    </w:p>
    <w:p>
      <w:pPr>
        <w:pStyle w:val="28"/>
        <w:spacing w:before="75" w:beforeAutospacing="0" w:after="75" w:afterAutospacing="0"/>
        <w:ind w:firstLine="480"/>
        <w:rPr>
          <w:highlight w:val="none"/>
        </w:rPr>
      </w:pPr>
      <w:r>
        <w:rPr>
          <w:rFonts w:hint="eastAsia"/>
          <w:highlight w:val="none"/>
        </w:rPr>
        <w:t>①投标文件中未载明分包承担主体；</w:t>
      </w:r>
    </w:p>
    <w:p>
      <w:pPr>
        <w:pStyle w:val="28"/>
        <w:spacing w:before="75" w:beforeAutospacing="0" w:after="75" w:afterAutospacing="0"/>
        <w:ind w:firstLine="480"/>
        <w:rPr>
          <w:highlight w:val="none"/>
        </w:rPr>
      </w:pPr>
      <w:r>
        <w:rPr>
          <w:rFonts w:hint="eastAsia"/>
          <w:highlight w:val="none"/>
        </w:rPr>
        <w:t>②投标文件载明的分包承担主体不具备相应资质条件；</w:t>
      </w:r>
    </w:p>
    <w:p>
      <w:pPr>
        <w:pStyle w:val="28"/>
        <w:spacing w:before="75" w:beforeAutospacing="0" w:after="75" w:afterAutospacing="0"/>
        <w:ind w:firstLine="480"/>
        <w:rPr>
          <w:highlight w:val="none"/>
        </w:rPr>
      </w:pPr>
      <w:r>
        <w:rPr>
          <w:rFonts w:hint="eastAsia"/>
          <w:highlight w:val="none"/>
        </w:rPr>
        <w:t>③投标文件载明的分包承担主体拟再次分包。</w:t>
      </w:r>
    </w:p>
    <w:p>
      <w:pPr>
        <w:pStyle w:val="28"/>
        <w:spacing w:before="75" w:beforeAutospacing="0" w:after="75" w:afterAutospacing="0"/>
        <w:rPr>
          <w:highlight w:val="none"/>
        </w:rPr>
      </w:pPr>
      <w:r>
        <w:rPr>
          <w:rFonts w:hint="eastAsia"/>
          <w:highlight w:val="none"/>
        </w:rPr>
        <w:t>10.8投标有效期</w:t>
      </w:r>
    </w:p>
    <w:p>
      <w:pPr>
        <w:pStyle w:val="28"/>
        <w:spacing w:before="75" w:beforeAutospacing="0" w:after="75" w:afterAutospacing="0"/>
        <w:ind w:firstLine="480"/>
        <w:rPr>
          <w:highlight w:val="none"/>
        </w:rPr>
      </w:pPr>
      <w:r>
        <w:rPr>
          <w:rFonts w:hint="eastAsia"/>
          <w:highlight w:val="none"/>
        </w:rPr>
        <w:t>（1）招标文件载明的投标有效期：详见招标文件第二章。</w:t>
      </w:r>
    </w:p>
    <w:p>
      <w:pPr>
        <w:pStyle w:val="28"/>
        <w:spacing w:before="75" w:beforeAutospacing="0" w:after="75" w:afterAutospacing="0"/>
        <w:ind w:firstLine="480"/>
        <w:rPr>
          <w:highlight w:val="none"/>
        </w:rPr>
      </w:pPr>
      <w:r>
        <w:rPr>
          <w:rFonts w:hint="eastAsia"/>
          <w:highlight w:val="none"/>
        </w:rPr>
        <w:t>（2）投标文件承诺的投标有效期不得少于招标文件载明的投标有效期，否则</w:t>
      </w:r>
      <w:r>
        <w:rPr>
          <w:rStyle w:val="38"/>
          <w:rFonts w:hint="eastAsia"/>
          <w:highlight w:val="none"/>
        </w:rPr>
        <w:t>投标无效</w:t>
      </w:r>
      <w:r>
        <w:rPr>
          <w:rFonts w:hint="eastAsia"/>
          <w:highlight w:val="none"/>
        </w:rPr>
        <w:t>。</w:t>
      </w:r>
    </w:p>
    <w:p>
      <w:pPr>
        <w:pStyle w:val="28"/>
        <w:spacing w:before="75" w:beforeAutospacing="0" w:after="75" w:afterAutospacing="0"/>
        <w:ind w:firstLine="480"/>
        <w:rPr>
          <w:highlight w:val="none"/>
        </w:rPr>
      </w:pPr>
      <w:r>
        <w:rPr>
          <w:rFonts w:hint="eastAsia"/>
          <w:highlight w:val="none"/>
        </w:rPr>
        <w:t>（3）根据本次采购活动的需要，</w:t>
      </w:r>
      <w:r>
        <w:rPr>
          <w:rFonts w:hint="eastAsia"/>
          <w:highlight w:val="none"/>
          <w:u w:val="single"/>
        </w:rPr>
        <w:t>福建中福天缘工程造价咨询有限公司</w:t>
      </w:r>
      <w:r>
        <w:rPr>
          <w:rFonts w:hint="eastAsia"/>
          <w:highlight w:val="none"/>
        </w:rPr>
        <w:t>可于投标有效期届满之前书面要求投标人延长投标有效期，投标人应在</w:t>
      </w:r>
      <w:r>
        <w:rPr>
          <w:rFonts w:hint="eastAsia"/>
          <w:highlight w:val="none"/>
          <w:u w:val="single"/>
        </w:rPr>
        <w:t>福建中福天缘工程造价咨询有限公司</w:t>
      </w:r>
      <w:r>
        <w:rPr>
          <w:rFonts w:hint="eastAsia"/>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28"/>
        <w:spacing w:before="75" w:beforeAutospacing="0" w:after="75" w:afterAutospacing="0"/>
        <w:rPr>
          <w:highlight w:val="none"/>
        </w:rPr>
      </w:pPr>
      <w:r>
        <w:rPr>
          <w:rFonts w:hint="eastAsia"/>
          <w:highlight w:val="none"/>
        </w:rPr>
        <w:t>10.9投标保证金</w:t>
      </w:r>
    </w:p>
    <w:p>
      <w:pPr>
        <w:pStyle w:val="28"/>
        <w:spacing w:before="75" w:beforeAutospacing="0" w:after="75" w:afterAutospacing="0"/>
        <w:ind w:firstLine="480"/>
        <w:rPr>
          <w:highlight w:val="none"/>
        </w:rPr>
      </w:pPr>
      <w:r>
        <w:rPr>
          <w:rFonts w:hint="eastAsia"/>
          <w:highlight w:val="none"/>
        </w:rPr>
        <w:t>（1）投标保证金作为投标人按照招标文件规定履行相应投标责任、义务的约束及担保。</w:t>
      </w:r>
    </w:p>
    <w:p>
      <w:pPr>
        <w:pStyle w:val="28"/>
        <w:spacing w:before="75" w:beforeAutospacing="0" w:after="75" w:afterAutospacing="0"/>
        <w:ind w:firstLine="480"/>
        <w:rPr>
          <w:highlight w:val="none"/>
        </w:rPr>
      </w:pPr>
      <w:r>
        <w:rPr>
          <w:rFonts w:hint="eastAsia"/>
          <w:highlight w:val="none"/>
        </w:rPr>
        <w:t>（2）投标保证金的有效期应与投标文件承诺的投标有效期保持一致，否则</w:t>
      </w:r>
      <w:r>
        <w:rPr>
          <w:rStyle w:val="38"/>
          <w:rFonts w:hint="eastAsia"/>
          <w:highlight w:val="none"/>
        </w:rPr>
        <w:t>投标无效</w:t>
      </w:r>
      <w:r>
        <w:rPr>
          <w:rFonts w:hint="eastAsia"/>
          <w:highlight w:val="none"/>
        </w:rPr>
        <w:t>。</w:t>
      </w:r>
    </w:p>
    <w:p>
      <w:pPr>
        <w:pStyle w:val="28"/>
        <w:spacing w:before="75" w:beforeAutospacing="0" w:after="75" w:afterAutospacing="0"/>
        <w:ind w:firstLine="480"/>
        <w:rPr>
          <w:highlight w:val="none"/>
        </w:rPr>
      </w:pPr>
      <w:r>
        <w:rPr>
          <w:rFonts w:hint="eastAsia"/>
          <w:highlight w:val="none"/>
        </w:rPr>
        <w:t>（3）提交</w:t>
      </w:r>
    </w:p>
    <w:p>
      <w:pPr>
        <w:pStyle w:val="28"/>
        <w:spacing w:before="75" w:beforeAutospacing="0" w:after="75" w:afterAutospacing="0"/>
        <w:ind w:firstLine="480"/>
        <w:rPr>
          <w:highlight w:val="none"/>
        </w:rPr>
      </w:pPr>
      <w:r>
        <w:rPr>
          <w:rFonts w:hint="eastAsia"/>
          <w:highlight w:val="none"/>
        </w:rPr>
        <w:t>①投标人应以</w:t>
      </w:r>
      <w:r>
        <w:rPr>
          <w:rStyle w:val="38"/>
          <w:rFonts w:hint="eastAsia"/>
          <w:highlight w:val="none"/>
        </w:rPr>
        <w:t>转账方式</w:t>
      </w:r>
      <w:r>
        <w:rPr>
          <w:rFonts w:hint="eastAsia"/>
          <w:highlight w:val="none"/>
        </w:rPr>
        <w:t>向招标文件载明的投标保证金账户提交投标保证金，具体金额详见招标文件第一章。</w:t>
      </w:r>
    </w:p>
    <w:p>
      <w:pPr>
        <w:pStyle w:val="28"/>
        <w:spacing w:before="75" w:beforeAutospacing="0" w:after="75" w:afterAutospacing="0"/>
        <w:ind w:firstLine="480"/>
        <w:rPr>
          <w:highlight w:val="none"/>
        </w:rPr>
      </w:pPr>
      <w:r>
        <w:rPr>
          <w:rFonts w:hint="eastAsia"/>
          <w:highlight w:val="none"/>
        </w:rPr>
        <w:t>②投标保证金应于投标截止时间前到达招标文件载明的投标保证金账户，否则视为投标保证金未提交</w:t>
      </w:r>
      <w:r>
        <w:rPr>
          <w:rStyle w:val="38"/>
          <w:rFonts w:hint="eastAsia"/>
          <w:b w:val="0"/>
          <w:bCs w:val="0"/>
          <w:highlight w:val="none"/>
        </w:rPr>
        <w:t>。</w:t>
      </w:r>
    </w:p>
    <w:p>
      <w:pPr>
        <w:pStyle w:val="28"/>
        <w:spacing w:before="75" w:beforeAutospacing="0" w:after="75" w:afterAutospacing="0"/>
        <w:ind w:firstLine="480"/>
        <w:rPr>
          <w:highlight w:val="none"/>
        </w:rPr>
      </w:pPr>
      <w:r>
        <w:rPr>
          <w:rFonts w:hint="eastAsia"/>
          <w:highlight w:val="none"/>
        </w:rPr>
        <w:t>③若本项目接受联合体投标且投标人为联合体，则联合体中的牵头方应按照本章第10.9条第（3）款第①、②点规定提交投标保证金。</w:t>
      </w:r>
    </w:p>
    <w:p>
      <w:pPr>
        <w:pStyle w:val="28"/>
        <w:spacing w:before="75" w:beforeAutospacing="0" w:after="75" w:afterAutospacing="0"/>
        <w:ind w:firstLine="480"/>
        <w:rPr>
          <w:highlight w:val="none"/>
        </w:rPr>
      </w:pPr>
      <w:r>
        <w:rPr>
          <w:rStyle w:val="38"/>
          <w:rFonts w:hint="eastAsia"/>
          <w:highlight w:val="none"/>
        </w:rPr>
        <w:t>※除招标文件另有规定外，未按照上述规定提交投标保证金将导致资格审查不合格。</w:t>
      </w:r>
    </w:p>
    <w:p>
      <w:pPr>
        <w:pStyle w:val="28"/>
        <w:spacing w:before="75" w:beforeAutospacing="0" w:after="75" w:afterAutospacing="0"/>
        <w:ind w:firstLine="480"/>
        <w:rPr>
          <w:highlight w:val="none"/>
        </w:rPr>
      </w:pPr>
      <w:r>
        <w:rPr>
          <w:rFonts w:hint="eastAsia"/>
          <w:highlight w:val="none"/>
        </w:rPr>
        <w:t>（4）退还</w:t>
      </w:r>
    </w:p>
    <w:p>
      <w:pPr>
        <w:pStyle w:val="28"/>
        <w:spacing w:before="75" w:beforeAutospacing="0" w:after="75" w:afterAutospacing="0"/>
        <w:ind w:firstLine="480"/>
        <w:rPr>
          <w:highlight w:val="none"/>
        </w:rPr>
      </w:pPr>
      <w:r>
        <w:rPr>
          <w:rFonts w:hint="eastAsia"/>
          <w:highlight w:val="none"/>
        </w:rPr>
        <w:t>①在投标截止时间前撤回已提交的投标文件的投标人，其投标保证金将在</w:t>
      </w:r>
      <w:r>
        <w:rPr>
          <w:rFonts w:hint="eastAsia"/>
          <w:highlight w:val="none"/>
          <w:u w:val="single"/>
        </w:rPr>
        <w:t>福建中福天缘工程造价咨询有限公司</w:t>
      </w:r>
      <w:r>
        <w:rPr>
          <w:rFonts w:hint="eastAsia"/>
          <w:highlight w:val="none"/>
        </w:rPr>
        <w:t>收到投标人书面撤回通知之日起5个工作日内退回原账户。</w:t>
      </w:r>
    </w:p>
    <w:p>
      <w:pPr>
        <w:pStyle w:val="28"/>
        <w:spacing w:before="75" w:beforeAutospacing="0" w:after="75" w:afterAutospacing="0"/>
        <w:ind w:firstLine="480"/>
        <w:rPr>
          <w:highlight w:val="none"/>
        </w:rPr>
      </w:pPr>
      <w:r>
        <w:rPr>
          <w:rFonts w:hint="eastAsia"/>
          <w:highlight w:val="none"/>
        </w:rPr>
        <w:t>②未中标人的投标保证金将在中标通知书发出之日起5个工作日内退回原账户。</w:t>
      </w:r>
    </w:p>
    <w:p>
      <w:pPr>
        <w:pStyle w:val="28"/>
        <w:spacing w:before="75" w:beforeAutospacing="0" w:after="75" w:afterAutospacing="0"/>
        <w:ind w:firstLine="480"/>
        <w:rPr>
          <w:highlight w:val="none"/>
        </w:rPr>
      </w:pPr>
      <w:r>
        <w:rPr>
          <w:rFonts w:hint="eastAsia"/>
          <w:highlight w:val="none"/>
        </w:rPr>
        <w:t>③中标人的投标保证金将在招标代理公司收到纸质合同原件留存备案起5个工作日内退回原账户</w:t>
      </w:r>
      <w:r>
        <w:rPr>
          <w:rStyle w:val="38"/>
          <w:rFonts w:hint="eastAsia"/>
          <w:highlight w:val="none"/>
        </w:rPr>
        <w:t>。</w:t>
      </w:r>
    </w:p>
    <w:p>
      <w:pPr>
        <w:pStyle w:val="28"/>
        <w:spacing w:before="75" w:beforeAutospacing="0" w:after="75" w:afterAutospacing="0"/>
        <w:ind w:firstLine="480"/>
        <w:rPr>
          <w:highlight w:val="none"/>
        </w:rPr>
      </w:pPr>
      <w:r>
        <w:rPr>
          <w:rFonts w:hint="eastAsia"/>
          <w:highlight w:val="none"/>
        </w:rPr>
        <w:t>④终止招标的，</w:t>
      </w:r>
      <w:r>
        <w:rPr>
          <w:rFonts w:hint="eastAsia"/>
          <w:highlight w:val="none"/>
          <w:u w:val="single"/>
        </w:rPr>
        <w:t>福建中福天缘工程造价咨询有限公司</w:t>
      </w:r>
      <w:r>
        <w:rPr>
          <w:rFonts w:hint="eastAsia"/>
          <w:highlight w:val="none"/>
        </w:rPr>
        <w:t>将在终止公告发布之日起5个工作日内退回已收取的投标保证金及其在银行产生的孳息。</w:t>
      </w:r>
    </w:p>
    <w:p>
      <w:pPr>
        <w:pStyle w:val="28"/>
        <w:spacing w:before="75" w:beforeAutospacing="0" w:after="75" w:afterAutospacing="0"/>
        <w:ind w:firstLine="480"/>
        <w:rPr>
          <w:highlight w:val="none"/>
        </w:rPr>
      </w:pPr>
      <w:r>
        <w:rPr>
          <w:rFonts w:hint="eastAsia"/>
          <w:highlight w:val="none"/>
        </w:rPr>
        <w:t>⑤除招标文件另有规定外，质疑或投诉涉及的投标人，若投标保证金尚未退还，则待质疑或投诉处理完毕后不计利息原额退还。</w:t>
      </w:r>
    </w:p>
    <w:p>
      <w:pPr>
        <w:pStyle w:val="28"/>
        <w:spacing w:before="75" w:beforeAutospacing="0" w:after="75" w:afterAutospacing="0"/>
        <w:ind w:firstLine="480"/>
        <w:rPr>
          <w:highlight w:val="none"/>
        </w:rPr>
      </w:pPr>
      <w:r>
        <w:rPr>
          <w:rStyle w:val="38"/>
          <w:rFonts w:hint="eastAsia"/>
          <w:highlight w:val="none"/>
        </w:rPr>
        <w:t>※本章第10.9条第（4）款第①、②、③点规定的投标保证金退还时限不包括因投标人自身原因导致无法及时退还而增加的时间。</w:t>
      </w:r>
    </w:p>
    <w:p>
      <w:pPr>
        <w:pStyle w:val="28"/>
        <w:spacing w:before="75" w:beforeAutospacing="0" w:after="75" w:afterAutospacing="0"/>
        <w:ind w:firstLine="480"/>
        <w:rPr>
          <w:highlight w:val="none"/>
        </w:rPr>
      </w:pPr>
      <w:r>
        <w:rPr>
          <w:rFonts w:hint="eastAsia"/>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28"/>
        <w:spacing w:before="75" w:beforeAutospacing="0" w:after="75" w:afterAutospacing="0"/>
        <w:ind w:firstLine="480"/>
        <w:rPr>
          <w:highlight w:val="none"/>
        </w:rPr>
      </w:pPr>
      <w:r>
        <w:rPr>
          <w:rFonts w:hint="eastAsia"/>
          <w:highlight w:val="none"/>
        </w:rPr>
        <w:t>（6）有下列情形之一的，投标保证金将不予退还：</w:t>
      </w:r>
    </w:p>
    <w:p>
      <w:pPr>
        <w:pStyle w:val="28"/>
        <w:spacing w:before="75" w:beforeAutospacing="0" w:after="75" w:afterAutospacing="0"/>
        <w:ind w:firstLine="480"/>
        <w:rPr>
          <w:highlight w:val="none"/>
        </w:rPr>
      </w:pPr>
      <w:r>
        <w:rPr>
          <w:rFonts w:hint="eastAsia"/>
          <w:highlight w:val="none"/>
        </w:rPr>
        <w:t>①投标人串通投标；</w:t>
      </w:r>
    </w:p>
    <w:p>
      <w:pPr>
        <w:pStyle w:val="28"/>
        <w:spacing w:before="75" w:beforeAutospacing="0" w:after="75" w:afterAutospacing="0"/>
        <w:ind w:firstLine="480"/>
        <w:rPr>
          <w:highlight w:val="none"/>
        </w:rPr>
      </w:pPr>
      <w:r>
        <w:rPr>
          <w:rFonts w:hint="eastAsia"/>
          <w:highlight w:val="none"/>
        </w:rPr>
        <w:t>②投标人提供虚假材料；</w:t>
      </w:r>
    </w:p>
    <w:p>
      <w:pPr>
        <w:pStyle w:val="28"/>
        <w:spacing w:before="75" w:beforeAutospacing="0" w:after="75" w:afterAutospacing="0"/>
        <w:ind w:firstLine="480"/>
        <w:rPr>
          <w:highlight w:val="none"/>
        </w:rPr>
      </w:pPr>
      <w:r>
        <w:rPr>
          <w:rFonts w:hint="eastAsia"/>
          <w:highlight w:val="none"/>
        </w:rPr>
        <w:t>③投标人采取不正当手段诋毁、排挤其他投标人；</w:t>
      </w:r>
    </w:p>
    <w:p>
      <w:pPr>
        <w:pStyle w:val="28"/>
        <w:spacing w:before="75" w:beforeAutospacing="0" w:after="75" w:afterAutospacing="0"/>
        <w:ind w:firstLine="480"/>
        <w:rPr>
          <w:highlight w:val="none"/>
        </w:rPr>
      </w:pPr>
      <w:r>
        <w:rPr>
          <w:rFonts w:hint="eastAsia"/>
          <w:highlight w:val="none"/>
        </w:rPr>
        <w:t>④投标截止时间后，投标人在投标有效期内撤销投标文件；</w:t>
      </w:r>
    </w:p>
    <w:p>
      <w:pPr>
        <w:pStyle w:val="28"/>
        <w:spacing w:before="75" w:beforeAutospacing="0" w:after="75" w:afterAutospacing="0"/>
        <w:ind w:firstLine="480"/>
        <w:rPr>
          <w:highlight w:val="none"/>
        </w:rPr>
      </w:pPr>
      <w:r>
        <w:rPr>
          <w:rFonts w:hint="eastAsia"/>
          <w:highlight w:val="none"/>
        </w:rPr>
        <w:t>⑤投标人不接受评标委员会按照招标文件规定对投标报价错误之处进行修正；</w:t>
      </w:r>
    </w:p>
    <w:p>
      <w:pPr>
        <w:pStyle w:val="28"/>
        <w:spacing w:before="75" w:beforeAutospacing="0" w:after="75" w:afterAutospacing="0"/>
        <w:ind w:firstLine="480"/>
        <w:rPr>
          <w:highlight w:val="none"/>
        </w:rPr>
      </w:pPr>
      <w:r>
        <w:rPr>
          <w:rFonts w:hint="eastAsia"/>
          <w:highlight w:val="none"/>
        </w:rPr>
        <w:t>⑥投标人违反招标文件第三章第9.4、9.5、9.6条规定之一；</w:t>
      </w:r>
    </w:p>
    <w:p>
      <w:pPr>
        <w:pStyle w:val="28"/>
        <w:spacing w:before="75" w:beforeAutospacing="0" w:after="75" w:afterAutospacing="0"/>
        <w:ind w:firstLine="480"/>
        <w:rPr>
          <w:highlight w:val="none"/>
        </w:rPr>
      </w:pPr>
      <w:r>
        <w:rPr>
          <w:rFonts w:hint="eastAsia"/>
          <w:highlight w:val="none"/>
        </w:rPr>
        <w:t>⑦招标文件规定的其他不予退还情形；</w:t>
      </w:r>
    </w:p>
    <w:p>
      <w:pPr>
        <w:pStyle w:val="28"/>
        <w:spacing w:before="75" w:beforeAutospacing="0" w:after="75" w:afterAutospacing="0"/>
        <w:ind w:firstLine="480"/>
        <w:rPr>
          <w:highlight w:val="none"/>
        </w:rPr>
      </w:pPr>
      <w:r>
        <w:rPr>
          <w:rFonts w:hint="eastAsia"/>
          <w:highlight w:val="none"/>
        </w:rPr>
        <w:t>⑧中标人有下列情形之一的：</w:t>
      </w:r>
    </w:p>
    <w:p>
      <w:pPr>
        <w:pStyle w:val="28"/>
        <w:spacing w:before="75" w:beforeAutospacing="0" w:after="75" w:afterAutospacing="0"/>
        <w:ind w:firstLine="480"/>
        <w:rPr>
          <w:highlight w:val="none"/>
        </w:rPr>
      </w:pPr>
      <w:r>
        <w:rPr>
          <w:rFonts w:hint="eastAsia"/>
          <w:highlight w:val="none"/>
        </w:rPr>
        <w:t>a.除不可抗力外，因中标人自身原因未在中标通知书要求的期限内与采购人签订采购合同；</w:t>
      </w:r>
    </w:p>
    <w:p>
      <w:pPr>
        <w:pStyle w:val="28"/>
        <w:spacing w:before="75" w:beforeAutospacing="0" w:after="75" w:afterAutospacing="0"/>
        <w:ind w:firstLine="480"/>
        <w:rPr>
          <w:highlight w:val="none"/>
        </w:rPr>
      </w:pPr>
      <w:r>
        <w:rPr>
          <w:rFonts w:hint="eastAsia"/>
          <w:highlight w:val="none"/>
        </w:rPr>
        <w:t>b.未按照招标文件、投标文件的约定签订采购合同或提交履约保证金。</w:t>
      </w:r>
    </w:p>
    <w:p>
      <w:pPr>
        <w:pStyle w:val="28"/>
        <w:spacing w:before="75" w:beforeAutospacing="0" w:after="75" w:afterAutospacing="0"/>
        <w:ind w:firstLine="480"/>
        <w:rPr>
          <w:highlight w:val="none"/>
        </w:rPr>
      </w:pPr>
      <w:r>
        <w:rPr>
          <w:rStyle w:val="38"/>
          <w:rFonts w:hint="eastAsia"/>
          <w:highlight w:val="none"/>
        </w:rPr>
        <w:t>※若上述投标保证金不予退还情形给采购人（采购代理机构）造成损失，则投标人还要承担相应的赔偿责任。</w:t>
      </w:r>
    </w:p>
    <w:p>
      <w:pPr>
        <w:pStyle w:val="28"/>
        <w:spacing w:before="75" w:beforeAutospacing="0" w:after="75" w:afterAutospacing="0"/>
        <w:rPr>
          <w:highlight w:val="none"/>
        </w:rPr>
      </w:pPr>
      <w:r>
        <w:rPr>
          <w:rFonts w:hint="eastAsia"/>
          <w:highlight w:val="none"/>
        </w:rPr>
        <w:t>10.10投标文件的提交</w:t>
      </w:r>
    </w:p>
    <w:p>
      <w:pPr>
        <w:pStyle w:val="28"/>
        <w:spacing w:before="75" w:beforeAutospacing="0" w:after="75" w:afterAutospacing="0"/>
        <w:ind w:firstLine="480"/>
        <w:rPr>
          <w:highlight w:val="none"/>
        </w:rPr>
      </w:pPr>
      <w:r>
        <w:rPr>
          <w:rFonts w:hint="eastAsia"/>
          <w:highlight w:val="none"/>
        </w:rPr>
        <w:t>（1）一个投标人只能提交一个投标文件，并按照招标文件第一章规定将其送达。</w:t>
      </w:r>
    </w:p>
    <w:p>
      <w:pPr>
        <w:pStyle w:val="28"/>
        <w:spacing w:before="75" w:beforeAutospacing="0" w:after="75" w:afterAutospacing="0"/>
        <w:ind w:firstLine="480"/>
        <w:rPr>
          <w:highlight w:val="none"/>
        </w:rPr>
      </w:pPr>
      <w:r>
        <w:rPr>
          <w:rFonts w:hint="eastAsia"/>
          <w:highlight w:val="none"/>
        </w:rPr>
        <w:t>（2）密封及其标记的具体形式：详见招标文件第二章。</w:t>
      </w:r>
    </w:p>
    <w:p>
      <w:pPr>
        <w:pStyle w:val="28"/>
        <w:spacing w:before="75" w:beforeAutospacing="0" w:after="75" w:afterAutospacing="0"/>
        <w:rPr>
          <w:highlight w:val="none"/>
        </w:rPr>
      </w:pPr>
      <w:r>
        <w:rPr>
          <w:rFonts w:hint="eastAsia"/>
          <w:highlight w:val="none"/>
        </w:rPr>
        <w:t>10.11投标文件的补充、修改或撤回</w:t>
      </w:r>
    </w:p>
    <w:p>
      <w:pPr>
        <w:pStyle w:val="28"/>
        <w:spacing w:before="75" w:beforeAutospacing="0" w:after="75" w:afterAutospacing="0"/>
        <w:ind w:firstLine="480"/>
        <w:rPr>
          <w:highlight w:val="none"/>
        </w:rPr>
      </w:pPr>
      <w:r>
        <w:rPr>
          <w:rFonts w:hint="eastAsia"/>
          <w:highlight w:val="none"/>
        </w:rPr>
        <w:t>（1）投标截止时间前，投标人可对所提交的投标文件进行补充、修改或撤回，并书面通知</w:t>
      </w:r>
      <w:r>
        <w:rPr>
          <w:rFonts w:hint="eastAsia"/>
          <w:highlight w:val="none"/>
          <w:u w:val="single"/>
        </w:rPr>
        <w:t>福建中福天缘工程造价咨询有限公司</w:t>
      </w:r>
      <w:r>
        <w:rPr>
          <w:rFonts w:hint="eastAsia"/>
          <w:highlight w:val="none"/>
        </w:rPr>
        <w:t>。</w:t>
      </w:r>
    </w:p>
    <w:p>
      <w:pPr>
        <w:pStyle w:val="28"/>
        <w:spacing w:before="75" w:beforeAutospacing="0" w:after="75" w:afterAutospacing="0"/>
        <w:ind w:firstLine="480"/>
        <w:rPr>
          <w:highlight w:val="none"/>
        </w:rPr>
      </w:pPr>
      <w:r>
        <w:rPr>
          <w:rFonts w:hint="eastAsia"/>
          <w:highlight w:val="none"/>
        </w:rPr>
        <w:t>（2）补充、修改的内容应按照本章第10.5条第（4）款规定进行签署、盖章，并按照本章第10.10条规定提交，</w:t>
      </w:r>
      <w:r>
        <w:rPr>
          <w:rStyle w:val="38"/>
          <w:rFonts w:hint="eastAsia"/>
          <w:highlight w:val="none"/>
        </w:rPr>
        <w:t>否则将被拒收。</w:t>
      </w:r>
    </w:p>
    <w:p>
      <w:pPr>
        <w:pStyle w:val="28"/>
        <w:spacing w:before="75" w:beforeAutospacing="0" w:after="75" w:afterAutospacing="0"/>
        <w:ind w:firstLine="480"/>
        <w:rPr>
          <w:highlight w:val="none"/>
        </w:rPr>
      </w:pPr>
      <w:r>
        <w:rPr>
          <w:rStyle w:val="38"/>
          <w:rFonts w:hint="eastAsia"/>
          <w:highlight w:val="none"/>
        </w:rPr>
        <w:t>※按照上述规定提交的补充、修改内容作为投标文件组成部分。</w:t>
      </w:r>
    </w:p>
    <w:p>
      <w:pPr>
        <w:pStyle w:val="28"/>
        <w:spacing w:before="75" w:beforeAutospacing="0" w:after="75" w:afterAutospacing="0"/>
        <w:rPr>
          <w:highlight w:val="none"/>
        </w:rPr>
      </w:pPr>
      <w:r>
        <w:rPr>
          <w:rFonts w:hint="eastAsia"/>
          <w:highlight w:val="none"/>
        </w:rPr>
        <w:t>10.12除招标文件另有规定外，有下列情形之一的，</w:t>
      </w:r>
      <w:r>
        <w:rPr>
          <w:rStyle w:val="38"/>
          <w:rFonts w:hint="eastAsia"/>
          <w:highlight w:val="none"/>
        </w:rPr>
        <w:t>投标无效</w:t>
      </w:r>
      <w:r>
        <w:rPr>
          <w:rFonts w:hint="eastAsia"/>
          <w:highlight w:val="none"/>
        </w:rPr>
        <w:t>：</w:t>
      </w:r>
    </w:p>
    <w:p>
      <w:pPr>
        <w:pStyle w:val="28"/>
        <w:spacing w:before="75" w:beforeAutospacing="0" w:after="75" w:afterAutospacing="0"/>
        <w:ind w:firstLine="480"/>
        <w:rPr>
          <w:highlight w:val="none"/>
        </w:rPr>
      </w:pPr>
      <w:r>
        <w:rPr>
          <w:rFonts w:hint="eastAsia"/>
          <w:highlight w:val="none"/>
        </w:rPr>
        <w:t>（1）投标文件未按照招标文件要求签署、盖章；</w:t>
      </w:r>
    </w:p>
    <w:p>
      <w:pPr>
        <w:pStyle w:val="28"/>
        <w:spacing w:before="75" w:beforeAutospacing="0" w:after="75" w:afterAutospacing="0"/>
        <w:ind w:firstLine="480"/>
        <w:rPr>
          <w:highlight w:val="none"/>
        </w:rPr>
      </w:pPr>
      <w:r>
        <w:rPr>
          <w:rFonts w:hint="eastAsia"/>
          <w:highlight w:val="none"/>
        </w:rPr>
        <w:t>（2）不符合招标文件中规定的资格要求；</w:t>
      </w:r>
    </w:p>
    <w:p>
      <w:pPr>
        <w:pStyle w:val="28"/>
        <w:spacing w:before="75" w:beforeAutospacing="0" w:after="75" w:afterAutospacing="0"/>
        <w:ind w:firstLine="480"/>
        <w:rPr>
          <w:highlight w:val="none"/>
        </w:rPr>
      </w:pPr>
      <w:r>
        <w:rPr>
          <w:rFonts w:hint="eastAsia"/>
          <w:highlight w:val="none"/>
        </w:rPr>
        <w:t>（3）投标报价超过招标文件中规定的预算金额或最高限价；</w:t>
      </w:r>
    </w:p>
    <w:p>
      <w:pPr>
        <w:pStyle w:val="28"/>
        <w:spacing w:before="75" w:beforeAutospacing="0" w:after="75" w:afterAutospacing="0"/>
        <w:ind w:firstLine="480"/>
        <w:rPr>
          <w:highlight w:val="none"/>
        </w:rPr>
      </w:pPr>
      <w:r>
        <w:rPr>
          <w:rFonts w:hint="eastAsia"/>
          <w:highlight w:val="none"/>
        </w:rPr>
        <w:t>（4）投标文件含有采购人不能接受的附加条件；</w:t>
      </w:r>
    </w:p>
    <w:p>
      <w:pPr>
        <w:pStyle w:val="28"/>
        <w:spacing w:before="75" w:beforeAutospacing="0" w:after="75" w:afterAutospacing="0"/>
        <w:ind w:firstLine="480"/>
        <w:rPr>
          <w:highlight w:val="none"/>
        </w:rPr>
      </w:pPr>
      <w:r>
        <w:rPr>
          <w:rFonts w:hint="eastAsia"/>
          <w:highlight w:val="none"/>
        </w:rPr>
        <w:t>（5）有关法律、法规和规章及招标文件规定的其他无效情形。</w:t>
      </w:r>
    </w:p>
    <w:p>
      <w:pPr>
        <w:pStyle w:val="28"/>
        <w:spacing w:before="75" w:beforeAutospacing="0" w:after="75" w:afterAutospacing="0"/>
        <w:rPr>
          <w:highlight w:val="none"/>
        </w:rPr>
      </w:pPr>
      <w:r>
        <w:rPr>
          <w:rFonts w:hint="eastAsia"/>
          <w:highlight w:val="none"/>
        </w:rPr>
        <w:t> </w:t>
      </w:r>
    </w:p>
    <w:p>
      <w:pPr>
        <w:pStyle w:val="28"/>
        <w:spacing w:before="75" w:beforeAutospacing="0" w:after="75" w:afterAutospacing="0"/>
        <w:jc w:val="center"/>
        <w:outlineLvl w:val="1"/>
        <w:rPr>
          <w:highlight w:val="none"/>
        </w:rPr>
      </w:pPr>
      <w:bookmarkStart w:id="22" w:name="_Toc11212"/>
      <w:bookmarkStart w:id="23" w:name="_Toc40254094"/>
      <w:r>
        <w:rPr>
          <w:rStyle w:val="38"/>
          <w:rFonts w:hint="eastAsia"/>
          <w:highlight w:val="none"/>
        </w:rPr>
        <w:t>五、开标</w:t>
      </w:r>
      <w:bookmarkEnd w:id="22"/>
      <w:bookmarkEnd w:id="23"/>
    </w:p>
    <w:p>
      <w:pPr>
        <w:pStyle w:val="28"/>
        <w:spacing w:before="75" w:beforeAutospacing="0" w:after="75" w:afterAutospacing="0"/>
        <w:rPr>
          <w:highlight w:val="none"/>
        </w:rPr>
      </w:pPr>
      <w:r>
        <w:rPr>
          <w:rFonts w:hint="eastAsia"/>
          <w:highlight w:val="none"/>
        </w:rPr>
        <w:t>11、开标</w:t>
      </w:r>
    </w:p>
    <w:p>
      <w:pPr>
        <w:pStyle w:val="28"/>
        <w:spacing w:before="75" w:beforeAutospacing="0" w:after="75" w:afterAutospacing="0"/>
        <w:rPr>
          <w:highlight w:val="none"/>
        </w:rPr>
      </w:pPr>
      <w:r>
        <w:rPr>
          <w:rFonts w:hint="eastAsia"/>
          <w:highlight w:val="none"/>
        </w:rPr>
        <w:t>11.1</w:t>
      </w:r>
      <w:r>
        <w:rPr>
          <w:rFonts w:hint="eastAsia"/>
          <w:highlight w:val="none"/>
          <w:u w:val="single"/>
        </w:rPr>
        <w:t>福建中福天缘工程造价咨询有限公司</w:t>
      </w:r>
      <w:r>
        <w:rPr>
          <w:rFonts w:hint="eastAsia"/>
          <w:highlight w:val="none"/>
        </w:rPr>
        <w:t>将在招标文件载明的开标时间及地点主持召开开标会，并邀请投标人参加。</w:t>
      </w:r>
    </w:p>
    <w:p>
      <w:pPr>
        <w:pStyle w:val="28"/>
        <w:spacing w:before="75" w:beforeAutospacing="0" w:after="75" w:afterAutospacing="0"/>
        <w:rPr>
          <w:highlight w:val="none"/>
        </w:rPr>
      </w:pPr>
      <w:r>
        <w:rPr>
          <w:rFonts w:hint="eastAsia"/>
          <w:highlight w:val="none"/>
        </w:rPr>
        <w:t>11.2开标会的主持人、唱标人、记录人及其他工作人员（若有）均由</w:t>
      </w:r>
      <w:r>
        <w:rPr>
          <w:rFonts w:hint="eastAsia"/>
          <w:highlight w:val="none"/>
          <w:u w:val="single"/>
        </w:rPr>
        <w:t>福建中福天缘工程造价咨询有限公司</w:t>
      </w:r>
      <w:r>
        <w:rPr>
          <w:rFonts w:hint="eastAsia"/>
          <w:highlight w:val="none"/>
        </w:rPr>
        <w:t>派出，现场监督人员（若有）可由有关方面派出。</w:t>
      </w:r>
    </w:p>
    <w:p>
      <w:pPr>
        <w:pStyle w:val="28"/>
        <w:spacing w:before="75" w:beforeAutospacing="0" w:after="75" w:afterAutospacing="0"/>
        <w:rPr>
          <w:highlight w:val="none"/>
        </w:rPr>
      </w:pPr>
      <w:r>
        <w:rPr>
          <w:rFonts w:hint="eastAsia"/>
          <w:highlight w:val="none"/>
        </w:rPr>
        <w:t>11.3参加开标会的投标人应签到，非投标人不参加开标会。</w:t>
      </w:r>
    </w:p>
    <w:p>
      <w:pPr>
        <w:pStyle w:val="28"/>
        <w:spacing w:before="75" w:beforeAutospacing="0" w:after="75" w:afterAutospacing="0"/>
        <w:rPr>
          <w:highlight w:val="none"/>
        </w:rPr>
      </w:pPr>
      <w:r>
        <w:rPr>
          <w:rFonts w:hint="eastAsia"/>
          <w:highlight w:val="none"/>
        </w:rPr>
        <w:t>11.4开标会应遵守下列规定：</w:t>
      </w:r>
    </w:p>
    <w:p>
      <w:pPr>
        <w:pStyle w:val="28"/>
        <w:spacing w:before="75" w:beforeAutospacing="0" w:after="75" w:afterAutospacing="0"/>
        <w:ind w:firstLine="480"/>
        <w:rPr>
          <w:highlight w:val="none"/>
        </w:rPr>
      </w:pPr>
      <w:r>
        <w:rPr>
          <w:rFonts w:hint="eastAsia"/>
          <w:highlight w:val="none"/>
        </w:rPr>
        <w:t>（1）首先由主持人宣布开标会须知，然后由投标人代表对投标文件的密封情况进行检查，经确认无误后，由工作人员对密封的投标文件当众拆封。</w:t>
      </w:r>
    </w:p>
    <w:p>
      <w:pPr>
        <w:pStyle w:val="28"/>
        <w:spacing w:before="75" w:beforeAutospacing="0" w:after="75" w:afterAutospacing="0"/>
        <w:ind w:firstLine="480"/>
        <w:rPr>
          <w:highlight w:val="none"/>
        </w:rPr>
      </w:pPr>
      <w:r>
        <w:rPr>
          <w:rFonts w:hint="eastAsia"/>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28"/>
        <w:spacing w:before="75" w:beforeAutospacing="0" w:after="75" w:afterAutospacing="0"/>
        <w:ind w:firstLine="480"/>
        <w:rPr>
          <w:highlight w:val="none"/>
        </w:rPr>
      </w:pPr>
      <w:r>
        <w:rPr>
          <w:rFonts w:hint="eastAsia"/>
          <w:highlight w:val="none"/>
        </w:rPr>
        <w:t>（3）记录人对唱标人宣布的内容作开标记录。</w:t>
      </w:r>
    </w:p>
    <w:p>
      <w:pPr>
        <w:pStyle w:val="28"/>
        <w:spacing w:before="75" w:beforeAutospacing="0" w:after="75" w:afterAutospacing="0"/>
        <w:ind w:firstLine="480"/>
        <w:rPr>
          <w:highlight w:val="none"/>
        </w:rPr>
      </w:pPr>
      <w:r>
        <w:rPr>
          <w:rFonts w:hint="eastAsia"/>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28"/>
        <w:spacing w:before="75" w:beforeAutospacing="0" w:after="75" w:afterAutospacing="0"/>
        <w:ind w:firstLine="480"/>
        <w:rPr>
          <w:highlight w:val="none"/>
        </w:rPr>
      </w:pPr>
      <w:r>
        <w:rPr>
          <w:rFonts w:hint="eastAsia"/>
          <w:highlight w:val="none"/>
        </w:rPr>
        <w:t>（5）投标人代表对开标过程和开标记录有疑义，以及认为采购人（采购代理机构）相关工作人员有需要回避情形的，应当场提出询问或回避申请。否则，视为投标人对开标过程和开标记录予以认可。</w:t>
      </w:r>
    </w:p>
    <w:p>
      <w:pPr>
        <w:pStyle w:val="28"/>
        <w:spacing w:before="75" w:beforeAutospacing="0" w:after="75" w:afterAutospacing="0"/>
        <w:ind w:firstLine="480"/>
        <w:rPr>
          <w:highlight w:val="none"/>
        </w:rPr>
      </w:pPr>
      <w:r>
        <w:rPr>
          <w:rFonts w:hint="eastAsia"/>
          <w:highlight w:val="none"/>
        </w:rPr>
        <w:t>（6）若投标人未参加开标会（包括但不限于投标人派出的人员不是投标人代表），视同其对开标过程和开标记录予以认可。</w:t>
      </w:r>
    </w:p>
    <w:p>
      <w:pPr>
        <w:pStyle w:val="28"/>
        <w:spacing w:before="75" w:beforeAutospacing="0" w:after="75" w:afterAutospacing="0"/>
        <w:ind w:firstLine="480"/>
        <w:rPr>
          <w:highlight w:val="none"/>
        </w:rPr>
      </w:pPr>
      <w:r>
        <w:rPr>
          <w:rStyle w:val="38"/>
          <w:rFonts w:hint="eastAsia"/>
          <w:highlight w:val="none"/>
        </w:rPr>
        <w:t>※若出现本章第11.4条第（4）、（5）、（6）款规定情形之一</w:t>
      </w:r>
      <w:r>
        <w:rPr>
          <w:rFonts w:hint="eastAsia"/>
          <w:highlight w:val="none"/>
        </w:rPr>
        <w:t>，</w:t>
      </w:r>
      <w:r>
        <w:rPr>
          <w:rStyle w:val="38"/>
          <w:rFonts w:hint="eastAsia"/>
          <w:highlight w:val="none"/>
        </w:rPr>
        <w:t>则投标人不得在开标会后就开标过程和开标记录涉及或可能涉及的有关事由（包括但不限于：“投标报价”、“投标文件的格式”、“投标文件的提交”、“投标文件的补充、修改或撤回”等）向</w:t>
      </w:r>
      <w:r>
        <w:rPr>
          <w:rFonts w:hint="eastAsia"/>
          <w:highlight w:val="none"/>
          <w:u w:val="single"/>
        </w:rPr>
        <w:t>福建中福天缘工程造价咨询有限公司</w:t>
      </w:r>
      <w:r>
        <w:rPr>
          <w:rStyle w:val="38"/>
          <w:rFonts w:hint="eastAsia"/>
          <w:highlight w:val="none"/>
        </w:rPr>
        <w:t>提出任何疑义或要求（包括质疑）。</w:t>
      </w:r>
    </w:p>
    <w:p>
      <w:pPr>
        <w:pStyle w:val="28"/>
        <w:spacing w:before="75" w:beforeAutospacing="0" w:after="75" w:afterAutospacing="0"/>
        <w:rPr>
          <w:highlight w:val="none"/>
        </w:rPr>
      </w:pPr>
      <w:r>
        <w:rPr>
          <w:rFonts w:hint="eastAsia"/>
          <w:highlight w:val="none"/>
        </w:rPr>
        <w:t>11.5投标截止时间后，参加投标的投标人不足三家的，不进行开标。同时，本次采购活动结束，</w:t>
      </w:r>
      <w:r>
        <w:rPr>
          <w:rFonts w:hint="eastAsia"/>
          <w:highlight w:val="none"/>
          <w:u w:val="single"/>
        </w:rPr>
        <w:t>福建中福天缘工程造价咨询有限公司</w:t>
      </w:r>
      <w:r>
        <w:rPr>
          <w:rFonts w:hint="eastAsia"/>
          <w:highlight w:val="none"/>
        </w:rPr>
        <w:t>将依法组织后续采购活动（包括但不限于：重新招标、采用其他方式采购等）。</w:t>
      </w:r>
    </w:p>
    <w:p>
      <w:pPr>
        <w:pStyle w:val="28"/>
        <w:spacing w:before="75" w:beforeAutospacing="0" w:after="75" w:afterAutospacing="0"/>
        <w:rPr>
          <w:highlight w:val="none"/>
        </w:rPr>
      </w:pPr>
      <w:r>
        <w:rPr>
          <w:rFonts w:hint="eastAsia"/>
          <w:highlight w:val="none"/>
        </w:rPr>
        <w:t> </w:t>
      </w:r>
    </w:p>
    <w:p>
      <w:pPr>
        <w:pStyle w:val="28"/>
        <w:spacing w:before="75" w:beforeAutospacing="0" w:after="75" w:afterAutospacing="0"/>
        <w:jc w:val="center"/>
        <w:outlineLvl w:val="1"/>
        <w:rPr>
          <w:highlight w:val="none"/>
        </w:rPr>
      </w:pPr>
      <w:bookmarkStart w:id="24" w:name="_Toc13537"/>
      <w:bookmarkStart w:id="25" w:name="_Toc40254095"/>
      <w:r>
        <w:rPr>
          <w:rStyle w:val="38"/>
          <w:rFonts w:hint="eastAsia"/>
          <w:highlight w:val="none"/>
        </w:rPr>
        <w:t>六、中标与采购合同</w:t>
      </w:r>
      <w:bookmarkEnd w:id="24"/>
      <w:bookmarkEnd w:id="25"/>
    </w:p>
    <w:p>
      <w:pPr>
        <w:pStyle w:val="28"/>
        <w:spacing w:before="75" w:beforeAutospacing="0" w:after="75" w:afterAutospacing="0"/>
        <w:rPr>
          <w:highlight w:val="none"/>
        </w:rPr>
      </w:pPr>
      <w:r>
        <w:rPr>
          <w:rFonts w:hint="eastAsia"/>
          <w:highlight w:val="none"/>
        </w:rPr>
        <w:t>12、中标</w:t>
      </w:r>
    </w:p>
    <w:p>
      <w:pPr>
        <w:pStyle w:val="28"/>
        <w:spacing w:before="75" w:beforeAutospacing="0" w:after="75" w:afterAutospacing="0"/>
        <w:rPr>
          <w:highlight w:val="none"/>
        </w:rPr>
      </w:pPr>
      <w:r>
        <w:rPr>
          <w:rFonts w:hint="eastAsia"/>
          <w:highlight w:val="none"/>
        </w:rPr>
        <w:t>12.1本项目推荐的中标候选人家数：详见招标文件第二章。</w:t>
      </w:r>
    </w:p>
    <w:p>
      <w:pPr>
        <w:pStyle w:val="28"/>
        <w:spacing w:before="75" w:beforeAutospacing="0" w:after="75" w:afterAutospacing="0"/>
        <w:rPr>
          <w:highlight w:val="none"/>
        </w:rPr>
      </w:pPr>
      <w:r>
        <w:rPr>
          <w:rFonts w:hint="eastAsia"/>
          <w:highlight w:val="none"/>
        </w:rPr>
        <w:t>12.2本项目中标人的确定：详见招标文件第二章。</w:t>
      </w:r>
    </w:p>
    <w:p>
      <w:pPr>
        <w:pStyle w:val="28"/>
        <w:spacing w:before="75" w:beforeAutospacing="0" w:after="75" w:afterAutospacing="0"/>
        <w:rPr>
          <w:highlight w:val="none"/>
        </w:rPr>
      </w:pPr>
      <w:r>
        <w:rPr>
          <w:rFonts w:hint="eastAsia"/>
          <w:highlight w:val="none"/>
        </w:rPr>
        <w:t>12.3中标公告</w:t>
      </w:r>
    </w:p>
    <w:p>
      <w:pPr>
        <w:pStyle w:val="28"/>
        <w:spacing w:before="75" w:beforeAutospacing="0" w:after="75" w:afterAutospacing="0"/>
        <w:ind w:firstLine="480"/>
        <w:rPr>
          <w:highlight w:val="none"/>
        </w:rPr>
      </w:pPr>
      <w:r>
        <w:rPr>
          <w:rFonts w:hint="eastAsia"/>
          <w:highlight w:val="none"/>
        </w:rPr>
        <w:t>（1）中标人确定之日起2个工作日内，</w:t>
      </w:r>
      <w:r>
        <w:rPr>
          <w:rFonts w:hint="eastAsia"/>
          <w:highlight w:val="none"/>
          <w:u w:val="single"/>
        </w:rPr>
        <w:t>福建中福天缘工程造价咨询有限公司</w:t>
      </w:r>
      <w:r>
        <w:rPr>
          <w:rFonts w:hint="eastAsia"/>
          <w:highlight w:val="none"/>
        </w:rPr>
        <w:t>将在招标文件载明的指定媒体以中标公告的形式发布中标结果。</w:t>
      </w:r>
    </w:p>
    <w:p>
      <w:pPr>
        <w:pStyle w:val="28"/>
        <w:spacing w:before="75" w:beforeAutospacing="0" w:after="75" w:afterAutospacing="0"/>
        <w:ind w:firstLine="480"/>
        <w:rPr>
          <w:highlight w:val="none"/>
        </w:rPr>
      </w:pPr>
      <w:r>
        <w:rPr>
          <w:rFonts w:hint="eastAsia"/>
          <w:highlight w:val="none"/>
        </w:rPr>
        <w:t>（2）中标公告的公告期限为1个工作日。</w:t>
      </w:r>
    </w:p>
    <w:p>
      <w:pPr>
        <w:pStyle w:val="28"/>
        <w:spacing w:before="75" w:beforeAutospacing="0" w:after="75" w:afterAutospacing="0"/>
        <w:ind w:firstLine="480"/>
        <w:rPr>
          <w:highlight w:val="none"/>
        </w:rPr>
      </w:pPr>
      <w:r>
        <w:rPr>
          <w:rFonts w:hint="eastAsia"/>
          <w:highlight w:val="none"/>
        </w:rPr>
        <w:t>（3）中标公告同时作为</w:t>
      </w:r>
      <w:r>
        <w:rPr>
          <w:rFonts w:hint="eastAsia"/>
          <w:highlight w:val="none"/>
          <w:u w:val="single"/>
        </w:rPr>
        <w:t>福建中福天缘工程造价咨询有限公司</w:t>
      </w:r>
      <w:r>
        <w:rPr>
          <w:rFonts w:hint="eastAsia"/>
          <w:highlight w:val="none"/>
        </w:rPr>
        <w:t>通知除中标人外的其他投标人没有中标的书面形式。</w:t>
      </w:r>
    </w:p>
    <w:p>
      <w:pPr>
        <w:pStyle w:val="28"/>
        <w:spacing w:before="75" w:beforeAutospacing="0" w:after="75" w:afterAutospacing="0"/>
        <w:rPr>
          <w:highlight w:val="none"/>
        </w:rPr>
      </w:pPr>
      <w:r>
        <w:rPr>
          <w:rFonts w:hint="eastAsia"/>
          <w:highlight w:val="none"/>
        </w:rPr>
        <w:t>12.4中标通知书</w:t>
      </w:r>
    </w:p>
    <w:p>
      <w:pPr>
        <w:pStyle w:val="28"/>
        <w:spacing w:before="75" w:beforeAutospacing="0" w:after="75" w:afterAutospacing="0"/>
        <w:ind w:firstLine="480"/>
        <w:rPr>
          <w:highlight w:val="none"/>
        </w:rPr>
      </w:pPr>
      <w:r>
        <w:rPr>
          <w:rFonts w:hint="eastAsia"/>
          <w:highlight w:val="none"/>
        </w:rPr>
        <w:t>（1）中标公告发布的同时，</w:t>
      </w:r>
      <w:r>
        <w:rPr>
          <w:rFonts w:hint="eastAsia"/>
          <w:highlight w:val="none"/>
          <w:u w:val="single"/>
        </w:rPr>
        <w:t>福建中福天缘工程造价咨询有限公司</w:t>
      </w:r>
      <w:r>
        <w:rPr>
          <w:rFonts w:hint="eastAsia"/>
          <w:highlight w:val="none"/>
        </w:rPr>
        <w:t>将向中标人发出中标通知书。</w:t>
      </w:r>
    </w:p>
    <w:p>
      <w:pPr>
        <w:pStyle w:val="28"/>
        <w:spacing w:before="75" w:beforeAutospacing="0" w:after="75" w:afterAutospacing="0"/>
        <w:ind w:firstLine="480"/>
        <w:rPr>
          <w:highlight w:val="none"/>
        </w:rPr>
      </w:pPr>
      <w:r>
        <w:rPr>
          <w:rFonts w:hint="eastAsia"/>
          <w:highlight w:val="none"/>
        </w:rPr>
        <w:t>（2）中标通知书发出后，采购人不得违法改变中标结果，中标人无正当理由不得放弃中标。</w:t>
      </w:r>
    </w:p>
    <w:p>
      <w:pPr>
        <w:pStyle w:val="28"/>
        <w:spacing w:before="75" w:beforeAutospacing="0" w:after="75" w:afterAutospacing="0"/>
        <w:rPr>
          <w:highlight w:val="none"/>
        </w:rPr>
      </w:pPr>
      <w:r>
        <w:rPr>
          <w:rFonts w:hint="eastAsia"/>
          <w:highlight w:val="none"/>
        </w:rPr>
        <w:t>13、采购合同</w:t>
      </w:r>
    </w:p>
    <w:p>
      <w:pPr>
        <w:pStyle w:val="28"/>
        <w:spacing w:before="75" w:beforeAutospacing="0" w:after="75" w:afterAutospacing="0"/>
        <w:rPr>
          <w:highlight w:val="none"/>
        </w:rPr>
      </w:pPr>
      <w:r>
        <w:rPr>
          <w:rFonts w:hint="eastAsia"/>
          <w:highlight w:val="none"/>
        </w:rPr>
        <w:t>13.1签订采购合同应遵守采购法及实施条例的规定，不得对招标文件确定的事项和中标人的投标文件作实质性修改。采购人不得向中标人提出任何不合理的要求作为采购合同的签订条件。</w:t>
      </w:r>
    </w:p>
    <w:p>
      <w:pPr>
        <w:pStyle w:val="28"/>
        <w:spacing w:before="75" w:beforeAutospacing="0" w:after="75" w:afterAutospacing="0"/>
        <w:rPr>
          <w:highlight w:val="none"/>
        </w:rPr>
      </w:pPr>
      <w:r>
        <w:rPr>
          <w:rFonts w:hint="eastAsia"/>
          <w:highlight w:val="none"/>
        </w:rPr>
        <w:t>13.2签订时限：自中标通知书发出之日起30个日历日内。</w:t>
      </w:r>
    </w:p>
    <w:p>
      <w:pPr>
        <w:pStyle w:val="28"/>
        <w:spacing w:before="75" w:beforeAutospacing="0" w:after="75" w:afterAutospacing="0"/>
        <w:rPr>
          <w:highlight w:val="none"/>
        </w:rPr>
      </w:pPr>
      <w:r>
        <w:rPr>
          <w:rFonts w:hint="eastAsia"/>
          <w:highlight w:val="none"/>
        </w:rPr>
        <w:t>13.3采购合同的履行、违约责任和解决争议的方法等适用合同法。</w:t>
      </w:r>
    </w:p>
    <w:p>
      <w:pPr>
        <w:pStyle w:val="28"/>
        <w:spacing w:before="75" w:beforeAutospacing="0" w:after="75" w:afterAutospacing="0"/>
        <w:rPr>
          <w:highlight w:val="none"/>
        </w:rPr>
      </w:pPr>
      <w:r>
        <w:rPr>
          <w:rFonts w:hint="eastAsia"/>
          <w:highlight w:val="none"/>
        </w:rPr>
        <w:t>13.4采购人与中标人应根据采购合同的约定依法履行合同义务。</w:t>
      </w:r>
    </w:p>
    <w:p>
      <w:pPr>
        <w:pStyle w:val="28"/>
        <w:spacing w:before="75" w:beforeAutospacing="0" w:after="75" w:afterAutospacing="0"/>
        <w:rPr>
          <w:highlight w:val="none"/>
        </w:rPr>
      </w:pPr>
      <w:r>
        <w:rPr>
          <w:rFonts w:hint="eastAsia"/>
          <w:highlight w:val="none"/>
        </w:rPr>
        <w:t>13.5采购合同履行过程中，采购人若需追加与合同标的相同的货物或服务，则追加采购金额不得超过原合同采购金额的10%。</w:t>
      </w:r>
    </w:p>
    <w:p>
      <w:pPr>
        <w:pStyle w:val="28"/>
        <w:spacing w:before="75" w:beforeAutospacing="0" w:after="75" w:afterAutospacing="0"/>
        <w:rPr>
          <w:highlight w:val="none"/>
        </w:rPr>
      </w:pPr>
      <w:r>
        <w:rPr>
          <w:rFonts w:hint="eastAsia"/>
          <w:highlight w:val="none"/>
        </w:rPr>
        <w:t>13.6中标人在采购合同履行过程中应遵守有关法律、法规和规章的强制性规定（即使前述强制性规定有可能在招标文件中未予列明）。</w:t>
      </w:r>
    </w:p>
    <w:p>
      <w:pPr>
        <w:pStyle w:val="28"/>
        <w:spacing w:before="75" w:beforeAutospacing="0" w:after="75" w:afterAutospacing="0"/>
        <w:rPr>
          <w:highlight w:val="none"/>
        </w:rPr>
      </w:pPr>
      <w:r>
        <w:rPr>
          <w:rFonts w:hint="eastAsia"/>
          <w:highlight w:val="none"/>
        </w:rPr>
        <w:t> </w:t>
      </w:r>
    </w:p>
    <w:p>
      <w:pPr>
        <w:pStyle w:val="28"/>
        <w:spacing w:before="75" w:beforeAutospacing="0" w:after="75" w:afterAutospacing="0"/>
        <w:jc w:val="center"/>
        <w:outlineLvl w:val="1"/>
        <w:rPr>
          <w:highlight w:val="none"/>
        </w:rPr>
      </w:pPr>
      <w:bookmarkStart w:id="26" w:name="_Toc10376"/>
      <w:bookmarkStart w:id="27" w:name="_Toc40254096"/>
      <w:r>
        <w:rPr>
          <w:rStyle w:val="38"/>
          <w:rFonts w:hint="eastAsia"/>
          <w:highlight w:val="none"/>
        </w:rPr>
        <w:t>七、询问、质疑与投诉</w:t>
      </w:r>
      <w:bookmarkEnd w:id="26"/>
      <w:bookmarkEnd w:id="27"/>
    </w:p>
    <w:p>
      <w:pPr>
        <w:pStyle w:val="28"/>
        <w:spacing w:before="75" w:beforeAutospacing="0" w:after="75" w:afterAutospacing="0"/>
        <w:rPr>
          <w:highlight w:val="none"/>
        </w:rPr>
      </w:pPr>
      <w:r>
        <w:rPr>
          <w:rFonts w:hint="eastAsia"/>
          <w:highlight w:val="none"/>
        </w:rPr>
        <w:t>14、询问</w:t>
      </w:r>
    </w:p>
    <w:p>
      <w:pPr>
        <w:pStyle w:val="28"/>
        <w:spacing w:before="75" w:beforeAutospacing="0" w:after="75" w:afterAutospacing="0"/>
        <w:rPr>
          <w:highlight w:val="none"/>
        </w:rPr>
      </w:pPr>
      <w:r>
        <w:rPr>
          <w:rFonts w:hint="eastAsia"/>
          <w:highlight w:val="none"/>
        </w:rPr>
        <w:t>14.1潜在投标人或投标人对本次采购活动的有关事项若有疑问，可向福建中福天缘工程造价咨询有限公司提出询问，福建中福天缘工程造价咨询有限公司将按照采购法及实施条例的有关规定进行答复。</w:t>
      </w:r>
    </w:p>
    <w:p>
      <w:pPr>
        <w:pStyle w:val="28"/>
        <w:spacing w:before="75" w:beforeAutospacing="0" w:after="75" w:afterAutospacing="0"/>
        <w:rPr>
          <w:highlight w:val="none"/>
        </w:rPr>
      </w:pPr>
      <w:r>
        <w:rPr>
          <w:rFonts w:hint="eastAsia"/>
          <w:highlight w:val="none"/>
        </w:rPr>
        <w:t>15、质疑</w:t>
      </w:r>
    </w:p>
    <w:p>
      <w:pPr>
        <w:pStyle w:val="28"/>
        <w:spacing w:before="75" w:beforeAutospacing="0" w:after="75" w:afterAutospacing="0"/>
        <w:rPr>
          <w:highlight w:val="none"/>
        </w:rPr>
      </w:pPr>
      <w:r>
        <w:rPr>
          <w:rFonts w:hint="eastAsia"/>
          <w:highlight w:val="none"/>
        </w:rPr>
        <w:t>15.1针对同一采购程序环节的质疑应在采购法及实施条例规定的时限内一次性提出，并同时符合下列条件：</w:t>
      </w:r>
    </w:p>
    <w:p>
      <w:pPr>
        <w:pStyle w:val="28"/>
        <w:spacing w:before="75" w:beforeAutospacing="0" w:after="75" w:afterAutospacing="0"/>
        <w:ind w:firstLine="480"/>
        <w:rPr>
          <w:highlight w:val="none"/>
        </w:rPr>
      </w:pPr>
      <w:r>
        <w:rPr>
          <w:rFonts w:hint="eastAsia"/>
          <w:highlight w:val="none"/>
        </w:rPr>
        <w:t>（1）对招标文件提出质疑的，质疑人应为潜在投标人，且两者的身份、名称等均应保持一致。对采购过程、结果提出质疑的，质疑人应为投标人，且两者的身份、名称等均应保持一致。</w:t>
      </w:r>
    </w:p>
    <w:p>
      <w:pPr>
        <w:pStyle w:val="28"/>
        <w:spacing w:before="75" w:beforeAutospacing="0" w:after="75" w:afterAutospacing="0"/>
        <w:ind w:firstLine="480"/>
        <w:rPr>
          <w:highlight w:val="none"/>
        </w:rPr>
      </w:pPr>
      <w:r>
        <w:rPr>
          <w:rFonts w:hint="eastAsia"/>
          <w:highlight w:val="none"/>
        </w:rPr>
        <w:t>（2）质疑人应按照招标文件第二章规定方式提交质疑函。</w:t>
      </w:r>
    </w:p>
    <w:p>
      <w:pPr>
        <w:pStyle w:val="28"/>
        <w:spacing w:before="75" w:beforeAutospacing="0" w:after="75" w:afterAutospacing="0"/>
        <w:ind w:firstLine="480"/>
        <w:rPr>
          <w:highlight w:val="none"/>
        </w:rPr>
      </w:pPr>
      <w:r>
        <w:rPr>
          <w:rFonts w:hint="eastAsia"/>
          <w:highlight w:val="none"/>
        </w:rPr>
        <w:t>（3）质疑函应包括下列主要内容：</w:t>
      </w:r>
    </w:p>
    <w:p>
      <w:pPr>
        <w:pStyle w:val="28"/>
        <w:spacing w:before="75" w:beforeAutospacing="0" w:after="75" w:afterAutospacing="0"/>
        <w:ind w:firstLine="480"/>
        <w:rPr>
          <w:highlight w:val="none"/>
        </w:rPr>
      </w:pPr>
      <w:r>
        <w:rPr>
          <w:rFonts w:hint="eastAsia"/>
          <w:highlight w:val="none"/>
        </w:rPr>
        <w:t>①质疑人的基本信息，至少包括：全称、地址、邮政编码等；</w:t>
      </w:r>
    </w:p>
    <w:p>
      <w:pPr>
        <w:pStyle w:val="28"/>
        <w:spacing w:before="75" w:beforeAutospacing="0" w:after="75" w:afterAutospacing="0"/>
        <w:ind w:firstLine="480"/>
        <w:rPr>
          <w:highlight w:val="none"/>
        </w:rPr>
      </w:pPr>
      <w:r>
        <w:rPr>
          <w:rFonts w:hint="eastAsia"/>
          <w:highlight w:val="none"/>
        </w:rPr>
        <w:t>②所质疑项目的基本信息，至少包括：招标编号、项目名称等；</w:t>
      </w:r>
    </w:p>
    <w:p>
      <w:pPr>
        <w:pStyle w:val="28"/>
        <w:spacing w:before="75" w:beforeAutospacing="0" w:after="75" w:afterAutospacing="0"/>
        <w:ind w:firstLine="480"/>
        <w:rPr>
          <w:highlight w:val="none"/>
        </w:rPr>
      </w:pPr>
      <w:r>
        <w:rPr>
          <w:rFonts w:hint="eastAsia"/>
          <w:highlight w:val="none"/>
        </w:rPr>
        <w:t>③所质疑的具体事项（以下简称：“质疑事项”）；</w:t>
      </w:r>
    </w:p>
    <w:p>
      <w:pPr>
        <w:pStyle w:val="28"/>
        <w:spacing w:before="75" w:beforeAutospacing="0" w:after="75" w:afterAutospacing="0"/>
        <w:ind w:firstLine="480"/>
        <w:rPr>
          <w:highlight w:val="none"/>
        </w:rPr>
      </w:pPr>
      <w:r>
        <w:rPr>
          <w:rFonts w:hint="eastAsia"/>
          <w:highlight w:val="none"/>
        </w:rPr>
        <w:t>④针对质疑事项提出的明确请求，前述明确请求指质疑人提出质疑的目的以及希望福建中福天缘工程造价咨询有限公司对其质疑作出的处理结果，如：暂停招标投标活动、修改招标文件、停止或纠正违法违规行为、中标结果无效、废标、重新招标等；</w:t>
      </w:r>
    </w:p>
    <w:p>
      <w:pPr>
        <w:pStyle w:val="28"/>
        <w:spacing w:before="75" w:beforeAutospacing="0" w:after="75" w:afterAutospacing="0"/>
        <w:ind w:firstLine="480"/>
        <w:rPr>
          <w:highlight w:val="none"/>
        </w:rPr>
      </w:pPr>
      <w:r>
        <w:rPr>
          <w:rFonts w:hint="eastAsia"/>
          <w:highlight w:val="none"/>
        </w:rPr>
        <w:t>⑤针对质疑事项导致质疑人自身权益受到损害的必要证明材料，至少包括：</w:t>
      </w:r>
    </w:p>
    <w:p>
      <w:pPr>
        <w:pStyle w:val="28"/>
        <w:spacing w:before="75" w:beforeAutospacing="0" w:after="75" w:afterAutospacing="0"/>
        <w:ind w:firstLine="480"/>
        <w:rPr>
          <w:highlight w:val="none"/>
        </w:rPr>
      </w:pPr>
      <w:r>
        <w:rPr>
          <w:rFonts w:hint="eastAsia"/>
          <w:highlight w:val="none"/>
        </w:rPr>
        <w:t>a.质疑人代表的身份证明材料：</w:t>
      </w:r>
    </w:p>
    <w:p>
      <w:pPr>
        <w:pStyle w:val="28"/>
        <w:spacing w:before="75" w:beforeAutospacing="0" w:after="75" w:afterAutospacing="0"/>
        <w:ind w:firstLine="480"/>
        <w:rPr>
          <w:highlight w:val="none"/>
        </w:rPr>
      </w:pPr>
      <w:r>
        <w:rPr>
          <w:rFonts w:hint="eastAsia"/>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28"/>
        <w:spacing w:before="75" w:beforeAutospacing="0" w:after="75" w:afterAutospacing="0"/>
        <w:ind w:firstLine="480"/>
        <w:rPr>
          <w:highlight w:val="none"/>
        </w:rPr>
      </w:pPr>
      <w:r>
        <w:rPr>
          <w:rFonts w:hint="eastAsia"/>
          <w:highlight w:val="none"/>
        </w:rPr>
        <w:t>a2若本项目接受自然人投标且质疑人为自然人的，提供本人的身份证复印件。</w:t>
      </w:r>
    </w:p>
    <w:p>
      <w:pPr>
        <w:pStyle w:val="28"/>
        <w:spacing w:before="75" w:beforeAutospacing="0" w:after="75" w:afterAutospacing="0"/>
        <w:ind w:firstLine="480"/>
        <w:rPr>
          <w:highlight w:val="none"/>
        </w:rPr>
      </w:pPr>
      <w:r>
        <w:rPr>
          <w:rFonts w:hint="eastAsia"/>
          <w:highlight w:val="none"/>
        </w:rPr>
        <w:t>b.其他证明材料（即事实依据和必要的法律依据）包括但不限于下列材料：</w:t>
      </w:r>
    </w:p>
    <w:p>
      <w:pPr>
        <w:pStyle w:val="28"/>
        <w:spacing w:before="75" w:beforeAutospacing="0" w:after="75" w:afterAutospacing="0"/>
        <w:ind w:firstLine="480"/>
        <w:rPr>
          <w:highlight w:val="none"/>
        </w:rPr>
      </w:pPr>
      <w:r>
        <w:rPr>
          <w:rFonts w:hint="eastAsia"/>
          <w:highlight w:val="none"/>
        </w:rPr>
        <w:t>b1所质疑的具体事项是与自已有利害关系的证明材料；</w:t>
      </w:r>
    </w:p>
    <w:p>
      <w:pPr>
        <w:pStyle w:val="28"/>
        <w:spacing w:before="75" w:beforeAutospacing="0" w:after="75" w:afterAutospacing="0"/>
        <w:ind w:firstLine="480"/>
        <w:rPr>
          <w:highlight w:val="none"/>
        </w:rPr>
      </w:pPr>
      <w:r>
        <w:rPr>
          <w:rFonts w:hint="eastAsia"/>
          <w:highlight w:val="none"/>
        </w:rPr>
        <w:t>b2质疑函所述事实存在的证明材料，如：采购文件、采购过程或中标结果违法违规或不符合采购文件要求等证明材料；</w:t>
      </w:r>
    </w:p>
    <w:p>
      <w:pPr>
        <w:pStyle w:val="28"/>
        <w:spacing w:before="75" w:beforeAutospacing="0" w:after="75" w:afterAutospacing="0"/>
        <w:ind w:firstLine="480"/>
        <w:rPr>
          <w:highlight w:val="none"/>
        </w:rPr>
      </w:pPr>
      <w:r>
        <w:rPr>
          <w:rFonts w:hint="eastAsia"/>
          <w:highlight w:val="none"/>
        </w:rPr>
        <w:t>b3依法应终止采购程序的证明材料；</w:t>
      </w:r>
    </w:p>
    <w:p>
      <w:pPr>
        <w:pStyle w:val="28"/>
        <w:spacing w:before="75" w:beforeAutospacing="0" w:after="75" w:afterAutospacing="0"/>
        <w:ind w:firstLine="480"/>
        <w:rPr>
          <w:highlight w:val="none"/>
        </w:rPr>
      </w:pPr>
      <w:r>
        <w:rPr>
          <w:rFonts w:hint="eastAsia"/>
          <w:highlight w:val="none"/>
        </w:rPr>
        <w:t>b4应重新采购的证明材料；</w:t>
      </w:r>
    </w:p>
    <w:p>
      <w:pPr>
        <w:pStyle w:val="28"/>
        <w:spacing w:before="75" w:beforeAutospacing="0" w:after="75" w:afterAutospacing="0"/>
        <w:ind w:firstLine="480"/>
        <w:rPr>
          <w:highlight w:val="none"/>
        </w:rPr>
      </w:pPr>
      <w:r>
        <w:rPr>
          <w:rFonts w:hint="eastAsia"/>
          <w:highlight w:val="none"/>
        </w:rPr>
        <w:t>b5采购文件、采购过程或中标、成交结果损害自已合法权益的证明材料等；</w:t>
      </w:r>
    </w:p>
    <w:p>
      <w:pPr>
        <w:pStyle w:val="28"/>
        <w:spacing w:before="75" w:beforeAutospacing="0" w:after="75" w:afterAutospacing="0"/>
        <w:ind w:firstLine="480"/>
        <w:rPr>
          <w:highlight w:val="none"/>
        </w:rPr>
      </w:pPr>
      <w:r>
        <w:rPr>
          <w:rFonts w:hint="eastAsia"/>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38"/>
          <w:rFonts w:hint="eastAsia"/>
          <w:highlight w:val="none"/>
        </w:rPr>
        <w:t>视为无效</w:t>
      </w:r>
      <w:r>
        <w:rPr>
          <w:rFonts w:hint="eastAsia"/>
          <w:highlight w:val="none"/>
        </w:rPr>
        <w:t>）。</w:t>
      </w:r>
      <w:r>
        <w:rPr>
          <w:rFonts w:hint="eastAsia"/>
          <w:highlight w:val="none"/>
        </w:rPr>
        <w:br w:type="textWrapping"/>
      </w:r>
      <w:r>
        <w:rPr>
          <w:rFonts w:hint="eastAsia"/>
          <w:highlight w:val="none"/>
        </w:rPr>
        <w:t>   ⑥质疑人代表及其联系方法的信息，至少包括：姓名、手机、电子信箱、邮寄地址等。</w:t>
      </w:r>
      <w:r>
        <w:rPr>
          <w:rFonts w:hint="eastAsia"/>
          <w:highlight w:val="none"/>
        </w:rPr>
        <w:br w:type="textWrapping"/>
      </w:r>
      <w:r>
        <w:rPr>
          <w:rFonts w:hint="eastAsia"/>
          <w:highlight w:val="none"/>
        </w:rPr>
        <w:t>   ⑦提出质疑的日期。</w:t>
      </w:r>
    </w:p>
    <w:p>
      <w:pPr>
        <w:pStyle w:val="28"/>
        <w:ind w:firstLine="480"/>
        <w:rPr>
          <w:highlight w:val="none"/>
        </w:rPr>
      </w:pPr>
      <w:r>
        <w:rPr>
          <w:rStyle w:val="38"/>
          <w:rFonts w:hint="eastAsia"/>
          <w:highlight w:val="none"/>
        </w:rPr>
        <w:t>※质疑人为法人或其他组织的，质疑函应由单位负责人或委托代理人签字或盖章，并加盖投标人的单位公章。质疑人为自然人的，质疑函应由本人签字。</w:t>
      </w:r>
    </w:p>
    <w:p>
      <w:pPr>
        <w:pStyle w:val="28"/>
        <w:spacing w:before="75" w:beforeAutospacing="0" w:after="75" w:afterAutospacing="0"/>
        <w:rPr>
          <w:highlight w:val="none"/>
        </w:rPr>
      </w:pPr>
      <w:r>
        <w:rPr>
          <w:rFonts w:hint="eastAsia"/>
          <w:highlight w:val="none"/>
        </w:rPr>
        <w:t>15.2对不符合本章第15.1条规定的质疑，将按照下列规定进行处理：</w:t>
      </w:r>
    </w:p>
    <w:p>
      <w:pPr>
        <w:pStyle w:val="28"/>
        <w:spacing w:before="75" w:beforeAutospacing="0" w:after="75" w:afterAutospacing="0"/>
        <w:ind w:firstLine="480"/>
        <w:rPr>
          <w:highlight w:val="none"/>
        </w:rPr>
      </w:pPr>
      <w:r>
        <w:rPr>
          <w:rFonts w:hint="eastAsia"/>
          <w:highlight w:val="none"/>
        </w:rPr>
        <w:t>（1）不符合其中第（1）、（2）条规定的，书面告知质疑人不予受理及其理由。</w:t>
      </w:r>
    </w:p>
    <w:p>
      <w:pPr>
        <w:pStyle w:val="28"/>
        <w:spacing w:before="75" w:beforeAutospacing="0" w:after="75" w:afterAutospacing="0"/>
        <w:ind w:firstLine="480"/>
        <w:rPr>
          <w:highlight w:val="none"/>
        </w:rPr>
      </w:pPr>
      <w:r>
        <w:rPr>
          <w:rFonts w:hint="eastAsia"/>
          <w:highlight w:val="none"/>
        </w:rPr>
        <w:t>（2）不符合其中第（3）条规定的，书面告知质疑人修改、补充后在规定时限内重新提交质疑函。</w:t>
      </w:r>
    </w:p>
    <w:p>
      <w:pPr>
        <w:pStyle w:val="28"/>
        <w:spacing w:before="75" w:beforeAutospacing="0" w:after="75" w:afterAutospacing="0"/>
        <w:rPr>
          <w:highlight w:val="none"/>
        </w:rPr>
      </w:pPr>
      <w:r>
        <w:rPr>
          <w:rFonts w:hint="eastAsia"/>
          <w:highlight w:val="none"/>
        </w:rPr>
        <w:t>15.3对符合本章第15.1条规定的质疑，将按照采购法及实施条例、采购质疑和投诉办法的有关规定进行答复。</w:t>
      </w:r>
    </w:p>
    <w:p>
      <w:pPr>
        <w:pStyle w:val="28"/>
        <w:spacing w:before="75" w:beforeAutospacing="0" w:after="75" w:afterAutospacing="0"/>
        <w:rPr>
          <w:highlight w:val="none"/>
        </w:rPr>
      </w:pPr>
      <w:r>
        <w:rPr>
          <w:rFonts w:hint="eastAsia"/>
          <w:highlight w:val="none"/>
        </w:rPr>
        <w:t>15.4招标文件的质疑：详见招标文件第二章。</w:t>
      </w:r>
    </w:p>
    <w:p>
      <w:pPr>
        <w:pStyle w:val="28"/>
        <w:spacing w:before="75" w:beforeAutospacing="0" w:after="75" w:afterAutospacing="0"/>
        <w:rPr>
          <w:highlight w:val="none"/>
        </w:rPr>
      </w:pPr>
      <w:r>
        <w:rPr>
          <w:rFonts w:hint="eastAsia"/>
          <w:highlight w:val="none"/>
        </w:rPr>
        <w:t>16、投诉</w:t>
      </w:r>
    </w:p>
    <w:p>
      <w:pPr>
        <w:pStyle w:val="28"/>
        <w:rPr>
          <w:highlight w:val="none"/>
        </w:rPr>
      </w:pPr>
      <w:r>
        <w:rPr>
          <w:rFonts w:hint="eastAsia"/>
          <w:highlight w:val="none"/>
        </w:rPr>
        <w:t>16.1若对质疑答复不满意或质疑答复未在答复期限内作出，质疑人可在答复期限届满之日起15个工作日内按照采购质疑和投诉办法的有关规定向招标文件第二章载明的本项目监督管理部门提起投诉。</w:t>
      </w:r>
    </w:p>
    <w:p>
      <w:pPr>
        <w:pStyle w:val="28"/>
        <w:spacing w:before="75" w:beforeAutospacing="0" w:after="75" w:afterAutospacing="0"/>
        <w:rPr>
          <w:highlight w:val="none"/>
        </w:rPr>
      </w:pPr>
      <w:r>
        <w:rPr>
          <w:rFonts w:hint="eastAsia"/>
          <w:highlight w:val="none"/>
        </w:rPr>
        <w:t>16.2投诉应有明确的请求和必要的证明材料，投诉的事项不得超出已质疑事项的范围。</w:t>
      </w:r>
    </w:p>
    <w:p>
      <w:pPr>
        <w:pStyle w:val="28"/>
        <w:spacing w:before="75" w:beforeAutospacing="0" w:after="75" w:afterAutospacing="0"/>
        <w:rPr>
          <w:rStyle w:val="38"/>
          <w:highlight w:val="none"/>
        </w:rPr>
      </w:pPr>
      <w:r>
        <w:rPr>
          <w:rFonts w:hint="eastAsia"/>
          <w:highlight w:val="none"/>
        </w:rPr>
        <w:t> </w:t>
      </w:r>
    </w:p>
    <w:p>
      <w:pPr>
        <w:pStyle w:val="28"/>
        <w:spacing w:before="75" w:beforeAutospacing="0" w:after="75" w:afterAutospacing="0"/>
        <w:jc w:val="center"/>
        <w:outlineLvl w:val="1"/>
        <w:rPr>
          <w:highlight w:val="none"/>
        </w:rPr>
      </w:pPr>
      <w:bookmarkStart w:id="28" w:name="_Toc1872"/>
      <w:bookmarkStart w:id="29" w:name="_Toc40254097"/>
      <w:r>
        <w:rPr>
          <w:rStyle w:val="38"/>
          <w:rFonts w:hint="eastAsia"/>
          <w:highlight w:val="none"/>
        </w:rPr>
        <w:t>八、本项目的有关信息</w:t>
      </w:r>
      <w:bookmarkEnd w:id="28"/>
      <w:bookmarkEnd w:id="29"/>
    </w:p>
    <w:p>
      <w:pPr>
        <w:pStyle w:val="28"/>
        <w:spacing w:before="75" w:beforeAutospacing="0" w:after="75" w:afterAutospacing="0"/>
        <w:rPr>
          <w:highlight w:val="none"/>
        </w:rPr>
      </w:pPr>
      <w:r>
        <w:rPr>
          <w:rFonts w:hint="eastAsia"/>
          <w:highlight w:val="none"/>
        </w:rPr>
        <w:t>18、本项目的有关信息，包括但不限于：招标公告、更正公告（若有）、招标文件、招标文件的澄清或修改（若有）、中标公告、终止公告（若有）、废标公告（若有）等都将在招标文件载明的指定媒体（若有）发布。</w:t>
      </w:r>
    </w:p>
    <w:p>
      <w:pPr>
        <w:pStyle w:val="28"/>
        <w:spacing w:before="75" w:beforeAutospacing="0" w:after="75" w:afterAutospacing="0"/>
        <w:rPr>
          <w:highlight w:val="none"/>
        </w:rPr>
      </w:pPr>
      <w:r>
        <w:rPr>
          <w:rFonts w:hint="eastAsia"/>
          <w:highlight w:val="none"/>
        </w:rPr>
        <w:t>18.1指定媒体：详见招标文件第二章。</w:t>
      </w:r>
    </w:p>
    <w:p>
      <w:pPr>
        <w:pStyle w:val="28"/>
        <w:spacing w:before="75" w:beforeAutospacing="0" w:after="75" w:afterAutospacing="0"/>
        <w:rPr>
          <w:highlight w:val="none"/>
        </w:rPr>
      </w:pPr>
      <w:r>
        <w:rPr>
          <w:rFonts w:hint="eastAsia"/>
          <w:highlight w:val="none"/>
        </w:rPr>
        <w:t>18.2本项目的潜在投标人或投标人应随时关注指定媒体（若有），否则产生不利后果由其自行承担。</w:t>
      </w:r>
    </w:p>
    <w:p>
      <w:pPr>
        <w:pStyle w:val="28"/>
        <w:spacing w:before="75" w:beforeAutospacing="0" w:after="75" w:afterAutospacing="0"/>
        <w:rPr>
          <w:highlight w:val="none"/>
        </w:rPr>
      </w:pPr>
      <w:r>
        <w:rPr>
          <w:rFonts w:hint="eastAsia"/>
          <w:highlight w:val="none"/>
        </w:rPr>
        <w:t> </w:t>
      </w:r>
    </w:p>
    <w:p>
      <w:pPr>
        <w:pStyle w:val="28"/>
        <w:spacing w:before="75" w:beforeAutospacing="0" w:after="75" w:afterAutospacing="0"/>
        <w:jc w:val="center"/>
        <w:outlineLvl w:val="1"/>
        <w:rPr>
          <w:highlight w:val="none"/>
        </w:rPr>
      </w:pPr>
      <w:bookmarkStart w:id="30" w:name="_Toc19062"/>
      <w:bookmarkStart w:id="31" w:name="_Toc40254098"/>
      <w:r>
        <w:rPr>
          <w:rStyle w:val="38"/>
          <w:rFonts w:hint="eastAsia"/>
          <w:highlight w:val="none"/>
        </w:rPr>
        <w:t>九、其他事项</w:t>
      </w:r>
      <w:bookmarkEnd w:id="30"/>
      <w:bookmarkEnd w:id="31"/>
    </w:p>
    <w:p>
      <w:pPr>
        <w:pStyle w:val="28"/>
        <w:spacing w:before="75" w:beforeAutospacing="0" w:after="75" w:afterAutospacing="0"/>
        <w:rPr>
          <w:highlight w:val="none"/>
        </w:rPr>
        <w:sectPr>
          <w:pgSz w:w="11907" w:h="16840"/>
          <w:pgMar w:top="1417" w:right="1417" w:bottom="1417" w:left="1417" w:header="851" w:footer="992" w:gutter="0"/>
          <w:cols w:space="720" w:num="1"/>
          <w:titlePg/>
          <w:docGrid w:linePitch="323" w:charSpace="0"/>
        </w:sectPr>
      </w:pPr>
      <w:r>
        <w:rPr>
          <w:rFonts w:hint="eastAsia"/>
          <w:highlight w:val="none"/>
        </w:rPr>
        <w:t>19、其他事项：详见招标文件第二章。</w:t>
      </w:r>
    </w:p>
    <w:p>
      <w:pPr>
        <w:pStyle w:val="28"/>
        <w:spacing w:before="75" w:beforeAutospacing="0" w:after="75" w:afterAutospacing="0"/>
        <w:jc w:val="center"/>
        <w:outlineLvl w:val="0"/>
        <w:rPr>
          <w:highlight w:val="none"/>
        </w:rPr>
      </w:pPr>
      <w:bookmarkStart w:id="32" w:name="_Toc31866"/>
      <w:bookmarkStart w:id="33" w:name="_Toc40254099"/>
      <w:r>
        <w:rPr>
          <w:rStyle w:val="38"/>
          <w:sz w:val="31"/>
          <w:szCs w:val="31"/>
          <w:highlight w:val="none"/>
        </w:rPr>
        <w:t>第四章</w:t>
      </w:r>
      <w:r>
        <w:rPr>
          <w:rStyle w:val="38"/>
          <w:rFonts w:hint="eastAsia"/>
          <w:sz w:val="31"/>
          <w:szCs w:val="31"/>
          <w:highlight w:val="none"/>
        </w:rPr>
        <w:t>   资格审查与评标</w:t>
      </w:r>
      <w:bookmarkEnd w:id="32"/>
      <w:bookmarkEnd w:id="33"/>
    </w:p>
    <w:p>
      <w:pPr>
        <w:pStyle w:val="28"/>
        <w:spacing w:before="75" w:beforeAutospacing="0" w:after="75" w:afterAutospacing="0"/>
        <w:jc w:val="center"/>
        <w:rPr>
          <w:highlight w:val="none"/>
        </w:rPr>
      </w:pPr>
      <w:r>
        <w:rPr>
          <w:highlight w:val="none"/>
        </w:rPr>
        <w:t> </w:t>
      </w:r>
    </w:p>
    <w:p>
      <w:pPr>
        <w:pStyle w:val="28"/>
        <w:spacing w:before="75" w:beforeAutospacing="0" w:after="75" w:afterAutospacing="0"/>
        <w:rPr>
          <w:highlight w:val="none"/>
        </w:rPr>
      </w:pPr>
      <w:r>
        <w:rPr>
          <w:rFonts w:hint="eastAsia"/>
          <w:highlight w:val="none"/>
        </w:rPr>
        <w:t> </w:t>
      </w:r>
    </w:p>
    <w:p>
      <w:pPr>
        <w:pStyle w:val="28"/>
        <w:spacing w:before="75" w:beforeAutospacing="0" w:after="75" w:afterAutospacing="0"/>
        <w:jc w:val="center"/>
        <w:outlineLvl w:val="1"/>
        <w:rPr>
          <w:rStyle w:val="38"/>
          <w:highlight w:val="none"/>
        </w:rPr>
      </w:pPr>
      <w:bookmarkStart w:id="34" w:name="_Toc26167"/>
      <w:bookmarkStart w:id="35" w:name="_Toc40254100"/>
      <w:r>
        <w:rPr>
          <w:rStyle w:val="38"/>
          <w:rFonts w:hint="eastAsia"/>
          <w:highlight w:val="none"/>
        </w:rPr>
        <w:t>一、资格审查</w:t>
      </w:r>
      <w:bookmarkEnd w:id="34"/>
      <w:bookmarkEnd w:id="35"/>
    </w:p>
    <w:p>
      <w:pPr>
        <w:pStyle w:val="28"/>
        <w:spacing w:before="75" w:beforeAutospacing="0" w:after="75" w:afterAutospacing="0"/>
        <w:rPr>
          <w:highlight w:val="none"/>
        </w:rPr>
      </w:pPr>
      <w:r>
        <w:rPr>
          <w:rFonts w:hint="eastAsia"/>
          <w:highlight w:val="none"/>
        </w:rPr>
        <w:t>1、开标结束后，由</w:t>
      </w:r>
      <w:r>
        <w:rPr>
          <w:rFonts w:hint="eastAsia"/>
          <w:highlight w:val="none"/>
          <w:u w:val="single"/>
        </w:rPr>
        <w:t>福建中福天缘工程造价咨询有限公司</w:t>
      </w:r>
      <w:r>
        <w:rPr>
          <w:rFonts w:hint="eastAsia"/>
          <w:highlight w:val="none"/>
        </w:rPr>
        <w:t>负责资格审查小组的组建及资格审查工作的组织。</w:t>
      </w:r>
    </w:p>
    <w:p>
      <w:pPr>
        <w:pStyle w:val="28"/>
        <w:spacing w:before="75" w:beforeAutospacing="0" w:after="75" w:afterAutospacing="0"/>
        <w:rPr>
          <w:highlight w:val="none"/>
        </w:rPr>
      </w:pPr>
      <w:r>
        <w:rPr>
          <w:rFonts w:hint="eastAsia"/>
          <w:highlight w:val="none"/>
        </w:rPr>
        <w:t>1.1资格审查的依据是招标文件和投标文件。</w:t>
      </w:r>
    </w:p>
    <w:p>
      <w:pPr>
        <w:pStyle w:val="28"/>
        <w:spacing w:before="75" w:beforeAutospacing="0" w:after="75" w:afterAutospacing="0"/>
        <w:rPr>
          <w:highlight w:val="none"/>
        </w:rPr>
      </w:pPr>
      <w:r>
        <w:rPr>
          <w:rFonts w:hint="eastAsia"/>
          <w:highlight w:val="none"/>
        </w:rPr>
        <w:t>1.2资格审查的范围及内容：投标文件（资格及资信证明部分），具体如下：</w:t>
      </w:r>
    </w:p>
    <w:p>
      <w:pPr>
        <w:tabs>
          <w:tab w:val="left" w:pos="720"/>
        </w:tabs>
        <w:spacing w:line="360" w:lineRule="auto"/>
        <w:ind w:firstLine="480" w:firstLineChars="200"/>
        <w:jc w:val="left"/>
        <w:rPr>
          <w:rFonts w:ascii="宋体" w:hAnsi="宋体" w:cs="宋体"/>
          <w:bCs/>
          <w:sz w:val="24"/>
          <w:highlight w:val="none"/>
        </w:rPr>
      </w:pPr>
      <w:r>
        <w:rPr>
          <w:rFonts w:hint="eastAsia" w:ascii="宋体" w:hAnsi="宋体" w:cs="宋体"/>
          <w:sz w:val="24"/>
          <w:highlight w:val="none"/>
        </w:rPr>
        <w:t>（1）“投标函”；</w:t>
      </w:r>
      <w:r>
        <w:rPr>
          <w:rFonts w:hint="eastAsia" w:ascii="宋体" w:hAnsi="宋体" w:cs="宋体"/>
          <w:sz w:val="24"/>
          <w:highlight w:val="none"/>
        </w:rPr>
        <w:br w:type="textWrapping"/>
      </w:r>
      <w:r>
        <w:rPr>
          <w:rFonts w:hint="eastAsia" w:ascii="宋体" w:hAnsi="宋体" w:cs="宋体"/>
          <w:sz w:val="24"/>
          <w:highlight w:val="none"/>
        </w:rPr>
        <w:t>  （2）“投标人的资格及资信证明文件”</w:t>
      </w:r>
      <w:r>
        <w:rPr>
          <w:rFonts w:hint="eastAsia" w:ascii="宋体" w:hAnsi="宋体" w:cs="宋体"/>
          <w:sz w:val="24"/>
          <w:highlight w:val="none"/>
        </w:rPr>
        <w:br w:type="textWrapping"/>
      </w:r>
      <w:r>
        <w:rPr>
          <w:rFonts w:hint="eastAsia" w:ascii="宋体" w:hAnsi="宋体" w:cs="宋体"/>
          <w:highlight w:val="none"/>
        </w:rPr>
        <w:t xml:space="preserve">  </w:t>
      </w:r>
      <w:r>
        <w:rPr>
          <w:rFonts w:hint="eastAsia" w:ascii="宋体" w:hAnsi="宋体" w:cs="宋体"/>
          <w:sz w:val="24"/>
          <w:highlight w:val="none"/>
        </w:rPr>
        <w:t xml:space="preserve"> </w:t>
      </w:r>
      <w:r>
        <w:rPr>
          <w:rFonts w:hint="eastAsia" w:ascii="宋体" w:hAnsi="宋体" w:cs="宋体"/>
          <w:bCs/>
          <w:sz w:val="24"/>
          <w:highlight w:val="none"/>
        </w:rPr>
        <w:t>①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p>
      <w:pPr>
        <w:tabs>
          <w:tab w:val="left" w:pos="720"/>
        </w:tabs>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 xml:space="preserve">②投标人代表或授权代表参加投标时需随身携带本人身份证原件及身份证复印件，授权代表另需携带授权委托书； </w:t>
      </w:r>
    </w:p>
    <w:p>
      <w:pPr>
        <w:tabs>
          <w:tab w:val="left" w:pos="720"/>
        </w:tabs>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③投标人提供上一年度财务报表，至少包括“资产负债表、利润表、现金流量表”；</w:t>
      </w:r>
      <w:r>
        <w:rPr>
          <w:rFonts w:hint="eastAsia" w:ascii="宋体" w:hAnsi="宋体" w:cs="宋体"/>
          <w:sz w:val="24"/>
          <w:highlight w:val="none"/>
        </w:rPr>
        <w:t xml:space="preserve"> </w:t>
      </w:r>
      <w:r>
        <w:rPr>
          <w:rFonts w:hint="eastAsia" w:ascii="宋体" w:hAnsi="宋体" w:cs="宋体"/>
          <w:bCs/>
          <w:sz w:val="24"/>
          <w:highlight w:val="none"/>
        </w:rPr>
        <w:t>提供依法缴纳税收和社会保障资金的相关材料；</w:t>
      </w:r>
    </w:p>
    <w:p>
      <w:pPr>
        <w:tabs>
          <w:tab w:val="left" w:pos="720"/>
        </w:tabs>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④投标人具备履行本项目合同所必需的设备的和专业技术能力的书面声明函；</w:t>
      </w:r>
    </w:p>
    <w:p>
      <w:pPr>
        <w:tabs>
          <w:tab w:val="left" w:pos="720"/>
        </w:tabs>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⑤投标方须提供参加政府采购活动前三年内，我方在经营活动中无严重违法失信行为信息记录、失信被执行人名录、企业经营异常名录、重大税收违法案件当事人名单、未被列为被告且无被执行案件、无行贿犯罪记录的书面声明。</w:t>
      </w:r>
    </w:p>
    <w:p>
      <w:pPr>
        <w:tabs>
          <w:tab w:val="left" w:pos="720"/>
        </w:tabs>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⑥投标人须提供本项目发布日期之后通过“信用中国”网站(www.creditchina.gov.cn)查询其上述信用记录的信用信息查询结果网页打印件或截图。</w:t>
      </w:r>
    </w:p>
    <w:p>
      <w:pPr>
        <w:pStyle w:val="2"/>
        <w:spacing w:line="360" w:lineRule="auto"/>
        <w:rPr>
          <w:rFonts w:ascii="宋体" w:hAnsi="宋体" w:cs="宋体"/>
          <w:bCs/>
          <w:sz w:val="24"/>
          <w:highlight w:val="none"/>
        </w:rPr>
      </w:pPr>
      <w:r>
        <w:rPr>
          <w:rFonts w:hint="eastAsia" w:ascii="宋体" w:hAnsi="宋体" w:cs="宋体"/>
          <w:sz w:val="24"/>
          <w:highlight w:val="none"/>
        </w:rPr>
        <w:t xml:space="preserve">   ⑦</w:t>
      </w:r>
      <w:r>
        <w:rPr>
          <w:rFonts w:hint="eastAsia" w:ascii="宋体" w:hAnsi="宋体" w:cs="宋体"/>
          <w:b/>
          <w:sz w:val="24"/>
          <w:highlight w:val="none"/>
        </w:rPr>
        <w:t xml:space="preserve"> </w:t>
      </w:r>
      <w:r>
        <w:rPr>
          <w:rFonts w:hint="eastAsia" w:ascii="宋体" w:hAnsi="宋体" w:cs="宋体"/>
          <w:bCs/>
          <w:sz w:val="24"/>
          <w:highlight w:val="none"/>
        </w:rPr>
        <w:t>投标人必须具备电子与智能化工程专业承包二级或机电安装工程专业承包三级及以上资质证书；</w:t>
      </w:r>
    </w:p>
    <w:p>
      <w:pPr>
        <w:pStyle w:val="3"/>
        <w:spacing w:line="360" w:lineRule="auto"/>
        <w:rPr>
          <w:rFonts w:ascii="宋体" w:hAnsi="宋体" w:cs="宋体"/>
          <w:bCs/>
          <w:highlight w:val="none"/>
        </w:rPr>
      </w:pPr>
      <w:r>
        <w:rPr>
          <w:rFonts w:hint="eastAsia" w:ascii="宋体" w:hAnsi="宋体" w:cs="宋体"/>
          <w:highlight w:val="none"/>
        </w:rPr>
        <w:t xml:space="preserve">   ⑧</w:t>
      </w:r>
      <w:r>
        <w:rPr>
          <w:rFonts w:hint="eastAsia" w:ascii="宋体" w:hAnsi="宋体" w:cs="宋体"/>
          <w:bCs/>
          <w:highlight w:val="none"/>
        </w:rPr>
        <w:t xml:space="preserve"> 本次招标不接受联合体投标；</w:t>
      </w:r>
    </w:p>
    <w:p>
      <w:pPr>
        <w:pStyle w:val="3"/>
        <w:spacing w:line="360" w:lineRule="auto"/>
        <w:ind w:firstLine="240" w:firstLineChars="100"/>
        <w:rPr>
          <w:rFonts w:ascii="宋体" w:hAnsi="宋体" w:cs="宋体"/>
          <w:bCs/>
          <w:highlight w:val="none"/>
        </w:rPr>
      </w:pPr>
      <w:r>
        <w:rPr>
          <w:rFonts w:hint="eastAsia" w:ascii="宋体" w:hAnsi="宋体" w:cs="宋体"/>
          <w:bCs/>
          <w:highlight w:val="none"/>
        </w:rPr>
        <w:t>⑨</w:t>
      </w:r>
      <w:r>
        <w:rPr>
          <w:rFonts w:hint="eastAsia" w:ascii="宋体" w:hAnsi="宋体" w:cs="宋体"/>
          <w:kern w:val="0"/>
          <w:highlight w:val="none"/>
        </w:rPr>
        <w:t>检察机关行贿犯罪档案查询结果告知函：a.未提供行贿犯罪档案查询结果或查询结果表明投标人有行贿犯罪记录的，投标无效。b.无法提供有效期内检察机关行贿犯罪档案查询结果告知函的，也应对近三年无行贿犯罪记录进行声明。c.告知函应在有效期内且内容完整、清晰、整洁，否则投标无效。d.无法获取有效期内检察机关行贿犯罪档案查询结果告知函的，应在《参加采购活动前三年内在经营活动中没有重大违法记录书面声明》中对近三年无行贿犯罪记录进行声明。</w:t>
      </w:r>
    </w:p>
    <w:p>
      <w:pPr>
        <w:widowControl/>
        <w:jc w:val="left"/>
        <w:rPr>
          <w:highlight w:val="none"/>
        </w:rPr>
      </w:pPr>
      <w:r>
        <w:rPr>
          <w:rFonts w:ascii="宋体" w:hAnsi="宋体" w:cs="宋体"/>
          <w:kern w:val="0"/>
          <w:sz w:val="24"/>
          <w:highlight w:val="none"/>
        </w:rPr>
        <w:br w:type="textWrapping"/>
      </w:r>
      <w:r>
        <w:rPr>
          <w:rFonts w:hint="eastAsia" w:ascii="宋体" w:hAnsi="宋体" w:cs="宋体"/>
          <w:kern w:val="0"/>
          <w:sz w:val="24"/>
          <w:highlight w:val="none"/>
        </w:rPr>
        <w:t>  （3）投标保证金。</w:t>
      </w:r>
    </w:p>
    <w:p>
      <w:pPr>
        <w:pStyle w:val="28"/>
        <w:spacing w:before="75" w:beforeAutospacing="0" w:after="75" w:afterAutospacing="0"/>
        <w:rPr>
          <w:highlight w:val="none"/>
        </w:rPr>
      </w:pPr>
      <w:r>
        <w:rPr>
          <w:rFonts w:hint="eastAsia"/>
          <w:highlight w:val="none"/>
        </w:rPr>
        <w:t>1.3有下列情形之一的，</w:t>
      </w:r>
      <w:r>
        <w:rPr>
          <w:rStyle w:val="38"/>
          <w:rFonts w:hint="eastAsia"/>
          <w:highlight w:val="none"/>
        </w:rPr>
        <w:t>资格审查不合格：</w:t>
      </w:r>
      <w:r>
        <w:rPr>
          <w:rStyle w:val="38"/>
          <w:rFonts w:hint="eastAsia"/>
          <w:highlight w:val="none"/>
        </w:rPr>
        <w:br w:type="textWrapping"/>
      </w:r>
      <w:r>
        <w:rPr>
          <w:rFonts w:hint="eastAsia"/>
          <w:highlight w:val="none"/>
        </w:rPr>
        <w:t>  （1）一般情形：</w:t>
      </w:r>
    </w:p>
    <w:tbl>
      <w:tblPr>
        <w:tblStyle w:val="33"/>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1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vAlign w:val="center"/>
          </w:tcPr>
          <w:p>
            <w:pPr>
              <w:widowControl/>
              <w:jc w:val="center"/>
              <w:rPr>
                <w:b/>
                <w:highlight w:val="none"/>
              </w:rPr>
            </w:pPr>
            <w:r>
              <w:rPr>
                <w:rFonts w:ascii="宋体" w:hAnsi="宋体" w:cs="宋体"/>
                <w:b/>
                <w:kern w:val="0"/>
                <w:sz w:val="24"/>
                <w:highlight w:val="none"/>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vAlign w:val="center"/>
          </w:tcPr>
          <w:p>
            <w:pPr>
              <w:widowControl/>
              <w:jc w:val="left"/>
              <w:rPr>
                <w:highlight w:val="none"/>
              </w:rPr>
            </w:pPr>
            <w:r>
              <w:rPr>
                <w:rFonts w:ascii="宋体" w:hAnsi="宋体" w:cs="宋体"/>
                <w:kern w:val="0"/>
                <w:sz w:val="24"/>
                <w:highlight w:val="none"/>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vAlign w:val="center"/>
          </w:tcPr>
          <w:p>
            <w:pPr>
              <w:widowControl/>
              <w:jc w:val="left"/>
              <w:rPr>
                <w:highlight w:val="none"/>
              </w:rPr>
            </w:pPr>
            <w:r>
              <w:rPr>
                <w:rFonts w:ascii="宋体" w:hAnsi="宋体" w:cs="宋体"/>
                <w:kern w:val="0"/>
                <w:sz w:val="24"/>
                <w:highlight w:val="none"/>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vAlign w:val="center"/>
          </w:tcPr>
          <w:p>
            <w:pPr>
              <w:widowControl/>
              <w:jc w:val="left"/>
              <w:rPr>
                <w:highlight w:val="none"/>
              </w:rPr>
            </w:pPr>
            <w:r>
              <w:rPr>
                <w:rFonts w:ascii="宋体" w:hAnsi="宋体" w:cs="宋体"/>
                <w:kern w:val="0"/>
                <w:sz w:val="24"/>
                <w:highlight w:val="none"/>
              </w:rPr>
              <w:t>未按照招标文件规定提交投标保证金</w:t>
            </w:r>
          </w:p>
        </w:tc>
      </w:tr>
    </w:tbl>
    <w:p>
      <w:pPr>
        <w:widowControl/>
        <w:jc w:val="left"/>
        <w:rPr>
          <w:highlight w:val="none"/>
        </w:rPr>
      </w:pPr>
      <w:r>
        <w:rPr>
          <w:rFonts w:ascii="宋体" w:hAnsi="宋体" w:cs="宋体"/>
          <w:kern w:val="0"/>
          <w:sz w:val="24"/>
          <w:highlight w:val="none"/>
        </w:rPr>
        <w:br w:type="textWrapping"/>
      </w:r>
      <w:r>
        <w:rPr>
          <w:rFonts w:hint="eastAsia" w:ascii="宋体" w:hAnsi="宋体" w:cs="宋体"/>
          <w:kern w:val="0"/>
          <w:sz w:val="24"/>
          <w:highlight w:val="none"/>
        </w:rPr>
        <w:t>  （2）本项目规定的其他情形：</w:t>
      </w:r>
    </w:p>
    <w:p>
      <w:pPr>
        <w:pStyle w:val="28"/>
        <w:ind w:firstLine="480"/>
        <w:rPr>
          <w:highlight w:val="none"/>
        </w:rPr>
      </w:pPr>
      <w:r>
        <w:rPr>
          <w:rStyle w:val="38"/>
          <w:highlight w:val="none"/>
        </w:rPr>
        <w:t>包：1</w:t>
      </w:r>
      <w:r>
        <w:rPr>
          <w:highlight w:val="none"/>
        </w:rPr>
        <w:t xml:space="preserve"> </w:t>
      </w:r>
      <w:r>
        <w:rPr>
          <w:highlight w:val="none"/>
        </w:rPr>
        <w:br w:type="textWrapping"/>
      </w:r>
      <w:r>
        <w:rPr>
          <w:rStyle w:val="38"/>
          <w:highlight w:val="none"/>
        </w:rPr>
        <w:t>         无</w:t>
      </w:r>
    </w:p>
    <w:p>
      <w:pPr>
        <w:pStyle w:val="28"/>
        <w:spacing w:before="75" w:beforeAutospacing="0" w:after="75" w:afterAutospacing="0"/>
        <w:rPr>
          <w:highlight w:val="none"/>
        </w:rPr>
      </w:pPr>
      <w:r>
        <w:rPr>
          <w:rFonts w:hint="eastAsia"/>
          <w:highlight w:val="none"/>
        </w:rPr>
        <w:t>1.4若本项目接受联合体投标且投标人为联合体，联合体中有同类资质的供应商按照联合体分工承担相同工作的，应先按照资质等级较低的供应商确定资质等级，再按照本章第</w:t>
      </w:r>
      <w:r>
        <w:rPr>
          <w:rFonts w:ascii="Calibri" w:hAnsi="Calibri" w:cs="Calibri"/>
          <w:highlight w:val="none"/>
        </w:rPr>
        <w:t>1.2</w:t>
      </w:r>
      <w:r>
        <w:rPr>
          <w:rFonts w:hint="eastAsia"/>
          <w:highlight w:val="none"/>
        </w:rPr>
        <w:t>、</w:t>
      </w:r>
      <w:r>
        <w:rPr>
          <w:rFonts w:ascii="Calibri" w:hAnsi="Calibri" w:cs="Calibri"/>
          <w:highlight w:val="none"/>
        </w:rPr>
        <w:t>1.3</w:t>
      </w:r>
      <w:r>
        <w:rPr>
          <w:rFonts w:hint="eastAsia"/>
          <w:highlight w:val="none"/>
        </w:rPr>
        <w:t>条规定进行资格审查。</w:t>
      </w:r>
    </w:p>
    <w:p>
      <w:pPr>
        <w:pStyle w:val="28"/>
        <w:spacing w:before="75" w:beforeAutospacing="0" w:after="75" w:afterAutospacing="0"/>
        <w:rPr>
          <w:highlight w:val="none"/>
        </w:rPr>
      </w:pPr>
      <w:r>
        <w:rPr>
          <w:rFonts w:hint="eastAsia"/>
          <w:highlight w:val="none"/>
        </w:rPr>
        <w:t>2、资格审查情况不得私自外泄，有关信息由</w:t>
      </w:r>
      <w:r>
        <w:rPr>
          <w:rFonts w:hint="eastAsia"/>
          <w:highlight w:val="none"/>
          <w:u w:val="single"/>
        </w:rPr>
        <w:t>福建中福天缘工程造价咨询有限公司</w:t>
      </w:r>
      <w:r>
        <w:rPr>
          <w:rFonts w:hint="eastAsia"/>
          <w:highlight w:val="none"/>
        </w:rPr>
        <w:t>统一对外发布。</w:t>
      </w:r>
    </w:p>
    <w:p>
      <w:pPr>
        <w:pStyle w:val="28"/>
        <w:spacing w:before="75" w:beforeAutospacing="0" w:after="75" w:afterAutospacing="0"/>
        <w:rPr>
          <w:highlight w:val="none"/>
        </w:rPr>
      </w:pPr>
      <w:r>
        <w:rPr>
          <w:rFonts w:hint="eastAsia"/>
          <w:highlight w:val="none"/>
        </w:rPr>
        <w:t>3、资格审查合格的投标人不足三家的，不进行评标。同时，本次采购活动结束，</w:t>
      </w:r>
      <w:r>
        <w:rPr>
          <w:rFonts w:hint="eastAsia"/>
          <w:highlight w:val="none"/>
          <w:u w:val="single"/>
        </w:rPr>
        <w:t>福建中福天缘工程造价咨询有限公司</w:t>
      </w:r>
      <w:r>
        <w:rPr>
          <w:rFonts w:hint="eastAsia"/>
          <w:highlight w:val="none"/>
        </w:rPr>
        <w:t>将依法组织后续采购活动（包括但不限于：重新招标、采用其他方式采购等）。</w:t>
      </w:r>
    </w:p>
    <w:p>
      <w:pPr>
        <w:pStyle w:val="28"/>
        <w:spacing w:before="75" w:beforeAutospacing="0" w:after="75" w:afterAutospacing="0"/>
        <w:rPr>
          <w:highlight w:val="none"/>
        </w:rPr>
      </w:pPr>
      <w:r>
        <w:rPr>
          <w:highlight w:val="none"/>
        </w:rPr>
        <w:t> </w:t>
      </w:r>
    </w:p>
    <w:p>
      <w:pPr>
        <w:pStyle w:val="28"/>
        <w:spacing w:before="75" w:beforeAutospacing="0" w:after="75" w:afterAutospacing="0"/>
        <w:jc w:val="center"/>
        <w:outlineLvl w:val="1"/>
        <w:rPr>
          <w:rStyle w:val="38"/>
          <w:highlight w:val="none"/>
        </w:rPr>
      </w:pPr>
      <w:bookmarkStart w:id="36" w:name="_Toc40254101"/>
      <w:bookmarkStart w:id="37" w:name="_Toc4878"/>
      <w:r>
        <w:rPr>
          <w:rStyle w:val="38"/>
          <w:rFonts w:hint="eastAsia"/>
          <w:highlight w:val="none"/>
        </w:rPr>
        <w:t>二、评标</w:t>
      </w:r>
      <w:bookmarkEnd w:id="36"/>
      <w:bookmarkEnd w:id="37"/>
    </w:p>
    <w:p>
      <w:pPr>
        <w:pStyle w:val="28"/>
        <w:spacing w:before="75" w:beforeAutospacing="0" w:after="75" w:afterAutospacing="0"/>
        <w:rPr>
          <w:highlight w:val="none"/>
        </w:rPr>
      </w:pPr>
      <w:r>
        <w:rPr>
          <w:rFonts w:hint="eastAsia"/>
          <w:highlight w:val="none"/>
        </w:rPr>
        <w:t>4、资格审查结束后，由福建中福天缘工程造价咨询有限公司负责评标委员会的组建及评标工作的组织。</w:t>
      </w:r>
    </w:p>
    <w:p>
      <w:pPr>
        <w:pStyle w:val="28"/>
        <w:spacing w:before="75" w:beforeAutospacing="0" w:after="75" w:afterAutospacing="0"/>
        <w:rPr>
          <w:highlight w:val="none"/>
        </w:rPr>
      </w:pPr>
      <w:r>
        <w:rPr>
          <w:rFonts w:hint="eastAsia"/>
          <w:highlight w:val="none"/>
        </w:rPr>
        <w:t>5、评标委员会</w:t>
      </w:r>
    </w:p>
    <w:p>
      <w:pPr>
        <w:pStyle w:val="28"/>
        <w:spacing w:before="75" w:beforeAutospacing="0" w:after="75" w:afterAutospacing="0"/>
        <w:rPr>
          <w:highlight w:val="none"/>
        </w:rPr>
      </w:pPr>
      <w:r>
        <w:rPr>
          <w:rFonts w:hint="eastAsia"/>
          <w:highlight w:val="none"/>
        </w:rPr>
        <w:t>5.1评标委员会由采购人代表和评标专家两部分共</w:t>
      </w:r>
      <w:r>
        <w:rPr>
          <w:rFonts w:hint="eastAsia"/>
          <w:highlight w:val="none"/>
          <w:u w:val="single"/>
        </w:rPr>
        <w:t>5</w:t>
      </w:r>
      <w:r>
        <w:rPr>
          <w:rFonts w:hint="eastAsia"/>
          <w:highlight w:val="none"/>
        </w:rPr>
        <w:t>人（以下简称“评委”）组成，其中：</w:t>
      </w:r>
      <w:r>
        <w:rPr>
          <w:rFonts w:hint="eastAsia"/>
          <w:color w:val="FF0000"/>
          <w:highlight w:val="none"/>
        </w:rPr>
        <w:t>由采购人派出的采购人代表</w:t>
      </w:r>
      <w:r>
        <w:rPr>
          <w:rFonts w:hint="eastAsia"/>
          <w:color w:val="FF0000"/>
          <w:highlight w:val="none"/>
          <w:u w:val="single"/>
        </w:rPr>
        <w:t>1</w:t>
      </w:r>
      <w:r>
        <w:rPr>
          <w:rFonts w:hint="eastAsia"/>
          <w:color w:val="FF0000"/>
          <w:highlight w:val="none"/>
        </w:rPr>
        <w:t>人，技术、经济等方面的专家</w:t>
      </w:r>
      <w:r>
        <w:rPr>
          <w:rFonts w:hint="eastAsia"/>
          <w:color w:val="FF0000"/>
          <w:highlight w:val="none"/>
          <w:u w:val="single"/>
        </w:rPr>
        <w:t xml:space="preserve">  4  </w:t>
      </w:r>
      <w:r>
        <w:rPr>
          <w:rFonts w:hint="eastAsia"/>
          <w:color w:val="FF0000"/>
          <w:highlight w:val="none"/>
        </w:rPr>
        <w:t>人。</w:t>
      </w:r>
    </w:p>
    <w:p>
      <w:pPr>
        <w:pStyle w:val="28"/>
        <w:spacing w:before="75" w:beforeAutospacing="0" w:after="75" w:afterAutospacing="0"/>
        <w:rPr>
          <w:highlight w:val="none"/>
        </w:rPr>
      </w:pPr>
      <w:r>
        <w:rPr>
          <w:rFonts w:hint="eastAsia"/>
          <w:highlight w:val="none"/>
        </w:rPr>
        <w:t>5.2评标委员会负责具体评标事务，并按照下列原则依法独立履行有关职责：</w:t>
      </w:r>
    </w:p>
    <w:p>
      <w:pPr>
        <w:pStyle w:val="28"/>
        <w:spacing w:before="75" w:beforeAutospacing="0" w:after="75" w:afterAutospacing="0"/>
        <w:ind w:firstLine="480"/>
        <w:rPr>
          <w:highlight w:val="none"/>
        </w:rPr>
      </w:pPr>
      <w:r>
        <w:rPr>
          <w:rFonts w:hint="eastAsia"/>
          <w:highlight w:val="none"/>
        </w:rPr>
        <w:t>（1）评标应保护国家利益、社会公共利益和各方当事人合法权益，提高采购效益，保证项目质量。</w:t>
      </w:r>
    </w:p>
    <w:p>
      <w:pPr>
        <w:pStyle w:val="28"/>
        <w:spacing w:before="75" w:beforeAutospacing="0" w:after="75" w:afterAutospacing="0"/>
        <w:ind w:firstLine="480"/>
        <w:rPr>
          <w:highlight w:val="none"/>
        </w:rPr>
      </w:pPr>
      <w:r>
        <w:rPr>
          <w:rFonts w:hint="eastAsia"/>
          <w:highlight w:val="none"/>
        </w:rPr>
        <w:t>（2）评标应遵循公平、公正、科学、严谨和择优原则。</w:t>
      </w:r>
    </w:p>
    <w:p>
      <w:pPr>
        <w:pStyle w:val="28"/>
        <w:spacing w:before="75" w:beforeAutospacing="0" w:after="75" w:afterAutospacing="0"/>
        <w:ind w:firstLine="480"/>
        <w:rPr>
          <w:highlight w:val="none"/>
        </w:rPr>
      </w:pPr>
      <w:r>
        <w:rPr>
          <w:rFonts w:hint="eastAsia"/>
          <w:highlight w:val="none"/>
        </w:rPr>
        <w:t>（3）评标的依据是招标文件和投标文件。</w:t>
      </w:r>
    </w:p>
    <w:p>
      <w:pPr>
        <w:pStyle w:val="28"/>
        <w:spacing w:before="75" w:beforeAutospacing="0" w:after="75" w:afterAutospacing="0"/>
        <w:ind w:firstLine="480"/>
        <w:rPr>
          <w:highlight w:val="none"/>
        </w:rPr>
      </w:pPr>
      <w:r>
        <w:rPr>
          <w:rFonts w:hint="eastAsia"/>
          <w:highlight w:val="none"/>
        </w:rPr>
        <w:t>（4）应按照招标文件规定推荐中标候选人或确定中标人。</w:t>
      </w:r>
    </w:p>
    <w:p>
      <w:pPr>
        <w:pStyle w:val="28"/>
        <w:spacing w:before="75" w:beforeAutospacing="0" w:after="75" w:afterAutospacing="0"/>
        <w:ind w:firstLine="480"/>
        <w:rPr>
          <w:highlight w:val="none"/>
        </w:rPr>
      </w:pPr>
      <w:r>
        <w:rPr>
          <w:rFonts w:hint="eastAsia"/>
          <w:highlight w:val="none"/>
        </w:rPr>
        <w:t>（5）评标应遵守下列评标纪律：</w:t>
      </w:r>
    </w:p>
    <w:p>
      <w:pPr>
        <w:pStyle w:val="28"/>
        <w:spacing w:before="75" w:beforeAutospacing="0" w:after="75" w:afterAutospacing="0"/>
        <w:ind w:firstLine="480"/>
        <w:rPr>
          <w:highlight w:val="none"/>
        </w:rPr>
      </w:pPr>
      <w:r>
        <w:rPr>
          <w:rFonts w:hint="eastAsia"/>
          <w:highlight w:val="none"/>
        </w:rPr>
        <w:t>①评标情况不得私自外泄，有关信息由</w:t>
      </w:r>
      <w:r>
        <w:rPr>
          <w:rFonts w:hint="eastAsia"/>
          <w:highlight w:val="none"/>
          <w:u w:val="single"/>
        </w:rPr>
        <w:t>福建中福天缘工程造价咨询有限公司</w:t>
      </w:r>
      <w:r>
        <w:rPr>
          <w:rFonts w:hint="eastAsia"/>
          <w:highlight w:val="none"/>
        </w:rPr>
        <w:t>统一对外发布。</w:t>
      </w:r>
    </w:p>
    <w:p>
      <w:pPr>
        <w:pStyle w:val="28"/>
        <w:spacing w:before="75" w:beforeAutospacing="0" w:after="75" w:afterAutospacing="0"/>
        <w:ind w:firstLine="480"/>
        <w:rPr>
          <w:highlight w:val="none"/>
        </w:rPr>
      </w:pPr>
      <w:r>
        <w:rPr>
          <w:rFonts w:hint="eastAsia"/>
          <w:highlight w:val="none"/>
        </w:rPr>
        <w:t>②对</w:t>
      </w:r>
      <w:r>
        <w:rPr>
          <w:rFonts w:hint="eastAsia"/>
          <w:highlight w:val="none"/>
          <w:u w:val="single"/>
        </w:rPr>
        <w:t>福建中福天缘工程造价咨询有限公司</w:t>
      </w:r>
      <w:r>
        <w:rPr>
          <w:rFonts w:hint="eastAsia"/>
          <w:highlight w:val="none"/>
        </w:rPr>
        <w:t>或投标人提供的要求保密的资料，不得摘记翻印和外传。</w:t>
      </w:r>
    </w:p>
    <w:p>
      <w:pPr>
        <w:pStyle w:val="28"/>
        <w:spacing w:before="75" w:beforeAutospacing="0" w:after="75" w:afterAutospacing="0"/>
        <w:ind w:firstLine="480"/>
        <w:rPr>
          <w:highlight w:val="none"/>
        </w:rPr>
      </w:pPr>
      <w:r>
        <w:rPr>
          <w:rFonts w:hint="eastAsia"/>
          <w:highlight w:val="none"/>
        </w:rPr>
        <w:t>③不得收受投标人或有关人员的任何礼物，不得串联鼓动其他人袒护某投标人。若与投标人存在利害关系，则应主动声明并回避。</w:t>
      </w:r>
    </w:p>
    <w:p>
      <w:pPr>
        <w:pStyle w:val="28"/>
        <w:spacing w:before="75" w:beforeAutospacing="0" w:after="75" w:afterAutospacing="0"/>
        <w:ind w:firstLine="480"/>
        <w:rPr>
          <w:highlight w:val="none"/>
        </w:rPr>
      </w:pPr>
      <w:r>
        <w:rPr>
          <w:rFonts w:hint="eastAsia"/>
          <w:highlight w:val="none"/>
        </w:rPr>
        <w:t>④全体评委应按照招标文件规定进行评标，一切认定事项应查有实据且不得弄虚作假。</w:t>
      </w:r>
    </w:p>
    <w:p>
      <w:pPr>
        <w:pStyle w:val="28"/>
        <w:spacing w:before="75" w:beforeAutospacing="0" w:after="75" w:afterAutospacing="0"/>
        <w:ind w:firstLine="480"/>
        <w:rPr>
          <w:highlight w:val="none"/>
        </w:rPr>
      </w:pPr>
      <w:r>
        <w:rPr>
          <w:rFonts w:hint="eastAsia"/>
          <w:highlight w:val="none"/>
        </w:rPr>
        <w:t>⑤评标中应充分发扬民主，推荐中标候选人或确定中标人后要服从评标报告。</w:t>
      </w:r>
    </w:p>
    <w:p>
      <w:pPr>
        <w:pStyle w:val="28"/>
        <w:spacing w:before="75" w:beforeAutospacing="0" w:after="75" w:afterAutospacing="0"/>
        <w:ind w:firstLine="480"/>
        <w:rPr>
          <w:highlight w:val="none"/>
        </w:rPr>
      </w:pPr>
      <w:r>
        <w:rPr>
          <w:rStyle w:val="38"/>
          <w:rFonts w:hint="eastAsia"/>
          <w:highlight w:val="none"/>
        </w:rPr>
        <w:t>※对违反评标纪律的评委，将取消其评委资格，对评标工作造成严重损失者将予以通报批评乃至追究法律责任。</w:t>
      </w:r>
    </w:p>
    <w:p>
      <w:pPr>
        <w:pStyle w:val="28"/>
        <w:spacing w:before="75" w:beforeAutospacing="0" w:after="75" w:afterAutospacing="0"/>
        <w:rPr>
          <w:highlight w:val="none"/>
        </w:rPr>
      </w:pPr>
      <w:r>
        <w:rPr>
          <w:rFonts w:hint="eastAsia"/>
          <w:highlight w:val="none"/>
        </w:rPr>
        <w:t>6、评标程序</w:t>
      </w:r>
    </w:p>
    <w:p>
      <w:pPr>
        <w:pStyle w:val="28"/>
        <w:spacing w:before="75" w:beforeAutospacing="0" w:after="75" w:afterAutospacing="0"/>
        <w:rPr>
          <w:highlight w:val="none"/>
        </w:rPr>
      </w:pPr>
      <w:r>
        <w:rPr>
          <w:rFonts w:hint="eastAsia"/>
          <w:highlight w:val="none"/>
        </w:rPr>
        <w:t>6.1评标前的准备工作</w:t>
      </w:r>
    </w:p>
    <w:p>
      <w:pPr>
        <w:pStyle w:val="28"/>
        <w:spacing w:before="75" w:beforeAutospacing="0" w:after="75" w:afterAutospacing="0"/>
        <w:ind w:firstLine="480"/>
        <w:rPr>
          <w:highlight w:val="none"/>
        </w:rPr>
      </w:pPr>
      <w:r>
        <w:rPr>
          <w:rFonts w:hint="eastAsia"/>
          <w:highlight w:val="none"/>
        </w:rPr>
        <w:t>（1）全体评委应认真审阅招标文件，了解评委应履行或遵守的职责、义务和评标纪律。</w:t>
      </w:r>
    </w:p>
    <w:p>
      <w:pPr>
        <w:pStyle w:val="28"/>
        <w:spacing w:before="75" w:beforeAutospacing="0" w:after="75" w:afterAutospacing="0"/>
        <w:ind w:firstLine="480"/>
        <w:rPr>
          <w:highlight w:val="none"/>
        </w:rPr>
      </w:pPr>
      <w:r>
        <w:rPr>
          <w:rFonts w:hint="eastAsia"/>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28"/>
        <w:spacing w:before="75" w:beforeAutospacing="0" w:after="75" w:afterAutospacing="0"/>
        <w:rPr>
          <w:highlight w:val="none"/>
        </w:rPr>
      </w:pPr>
      <w:r>
        <w:rPr>
          <w:rFonts w:hint="eastAsia"/>
          <w:highlight w:val="none"/>
        </w:rPr>
        <w:t>6.2符合性审查</w:t>
      </w:r>
    </w:p>
    <w:p>
      <w:pPr>
        <w:pStyle w:val="28"/>
        <w:spacing w:before="75" w:beforeAutospacing="0" w:after="75" w:afterAutospacing="0"/>
        <w:ind w:firstLine="480"/>
        <w:rPr>
          <w:highlight w:val="none"/>
        </w:rPr>
      </w:pPr>
      <w:r>
        <w:rPr>
          <w:rFonts w:hint="eastAsia"/>
          <w:highlight w:val="none"/>
        </w:rPr>
        <w:t>（1）评标委员会依据招标文件的实质性要求，对通过资格审查的投标文件进行符合性审查，以确定其是否满足招标文件的实质性要求。</w:t>
      </w:r>
    </w:p>
    <w:p>
      <w:pPr>
        <w:pStyle w:val="28"/>
        <w:spacing w:before="75" w:beforeAutospacing="0" w:after="75" w:afterAutospacing="0"/>
        <w:ind w:firstLine="480"/>
        <w:rPr>
          <w:highlight w:val="none"/>
        </w:rPr>
      </w:pPr>
      <w:r>
        <w:rPr>
          <w:rFonts w:hint="eastAsia"/>
          <w:highlight w:val="none"/>
        </w:rPr>
        <w:t>（2）满足招标文件的实质性要求指投标文件对招标文件实质性要求的响应不存在重大偏差或保留。</w:t>
      </w:r>
    </w:p>
    <w:p>
      <w:pPr>
        <w:pStyle w:val="28"/>
        <w:spacing w:before="75" w:beforeAutospacing="0" w:after="75" w:afterAutospacing="0"/>
        <w:ind w:firstLine="480"/>
        <w:rPr>
          <w:highlight w:val="none"/>
        </w:rPr>
      </w:pPr>
      <w:r>
        <w:rPr>
          <w:rFonts w:hint="eastAsia"/>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28"/>
        <w:spacing w:before="75" w:beforeAutospacing="0" w:after="75" w:afterAutospacing="0"/>
        <w:ind w:firstLine="480"/>
        <w:rPr>
          <w:highlight w:val="none"/>
        </w:rPr>
      </w:pPr>
      <w:r>
        <w:rPr>
          <w:rFonts w:hint="eastAsia"/>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28"/>
        <w:spacing w:before="75" w:beforeAutospacing="0" w:after="75" w:afterAutospacing="0"/>
        <w:ind w:firstLine="480"/>
        <w:rPr>
          <w:highlight w:val="none"/>
        </w:rPr>
      </w:pPr>
      <w:r>
        <w:rPr>
          <w:rFonts w:hint="eastAsia"/>
          <w:highlight w:val="none"/>
        </w:rPr>
        <w:t>（5）评标委员会对所有投标人都执行相同的程序和标准。</w:t>
      </w:r>
    </w:p>
    <w:p>
      <w:pPr>
        <w:pStyle w:val="28"/>
        <w:spacing w:before="75" w:beforeAutospacing="0" w:after="75" w:afterAutospacing="0"/>
        <w:ind w:firstLine="480"/>
        <w:rPr>
          <w:highlight w:val="none"/>
        </w:rPr>
      </w:pPr>
      <w:r>
        <w:rPr>
          <w:rFonts w:hint="eastAsia"/>
          <w:highlight w:val="none"/>
        </w:rPr>
        <w:t>（6）有下列情形之一的，</w:t>
      </w:r>
      <w:r>
        <w:rPr>
          <w:rStyle w:val="38"/>
          <w:rFonts w:hint="eastAsia"/>
          <w:highlight w:val="none"/>
        </w:rPr>
        <w:t>符合性审查不合格：</w:t>
      </w:r>
    </w:p>
    <w:p>
      <w:pPr>
        <w:pStyle w:val="28"/>
        <w:spacing w:before="75" w:beforeAutospacing="0" w:after="75" w:afterAutospacing="0"/>
        <w:ind w:firstLine="480"/>
        <w:rPr>
          <w:highlight w:val="none"/>
        </w:rPr>
      </w:pPr>
      <w:r>
        <w:rPr>
          <w:rFonts w:hint="eastAsia"/>
          <w:highlight w:val="none"/>
        </w:rPr>
        <w:t>①项目一般情形：</w:t>
      </w:r>
    </w:p>
    <w:tbl>
      <w:tblPr>
        <w:tblStyle w:val="33"/>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1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vAlign w:val="center"/>
          </w:tcPr>
          <w:p>
            <w:pPr>
              <w:widowControl/>
              <w:jc w:val="center"/>
              <w:rPr>
                <w:b/>
                <w:highlight w:val="none"/>
              </w:rPr>
            </w:pPr>
            <w:r>
              <w:rPr>
                <w:rFonts w:ascii="宋体" w:hAnsi="宋体" w:cs="宋体"/>
                <w:b/>
                <w:kern w:val="0"/>
                <w:sz w:val="24"/>
                <w:highlight w:val="none"/>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vAlign w:val="center"/>
          </w:tcPr>
          <w:p>
            <w:pPr>
              <w:widowControl/>
              <w:jc w:val="left"/>
              <w:rPr>
                <w:highlight w:val="none"/>
              </w:rPr>
            </w:pPr>
            <w:r>
              <w:rPr>
                <w:rFonts w:ascii="宋体" w:hAnsi="宋体" w:cs="宋体"/>
                <w:kern w:val="0"/>
                <w:sz w:val="24"/>
                <w:highlight w:val="none"/>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vAlign w:val="center"/>
          </w:tcPr>
          <w:p>
            <w:pPr>
              <w:widowControl/>
              <w:jc w:val="left"/>
              <w:rPr>
                <w:highlight w:val="none"/>
              </w:rPr>
            </w:pPr>
            <w:r>
              <w:rPr>
                <w:rFonts w:ascii="宋体" w:hAnsi="宋体" w:cs="宋体"/>
                <w:kern w:val="0"/>
                <w:sz w:val="24"/>
                <w:highlight w:val="none"/>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vAlign w:val="center"/>
          </w:tcPr>
          <w:p>
            <w:pPr>
              <w:widowControl/>
              <w:jc w:val="left"/>
              <w:rPr>
                <w:highlight w:val="none"/>
              </w:rPr>
            </w:pPr>
            <w:r>
              <w:rPr>
                <w:rFonts w:ascii="宋体" w:hAnsi="宋体" w:cs="宋体"/>
                <w:kern w:val="0"/>
                <w:sz w:val="24"/>
                <w:highlight w:val="none"/>
              </w:rPr>
              <w:t>投标文件对招标文件实质性要求的响应存在重大偏离或保留。</w:t>
            </w:r>
          </w:p>
        </w:tc>
      </w:tr>
    </w:tbl>
    <w:p>
      <w:pPr>
        <w:pStyle w:val="28"/>
        <w:spacing w:before="75" w:beforeAutospacing="0" w:after="75" w:afterAutospacing="0"/>
        <w:ind w:firstLine="480"/>
        <w:rPr>
          <w:highlight w:val="none"/>
        </w:rPr>
      </w:pPr>
      <w:r>
        <w:rPr>
          <w:rFonts w:hint="eastAsia"/>
          <w:highlight w:val="none"/>
        </w:rPr>
        <w:t>②本项目规定的其他情形：</w:t>
      </w:r>
      <w:r>
        <w:rPr>
          <w:rFonts w:hint="eastAsia"/>
          <w:highlight w:val="none"/>
        </w:rPr>
        <w:br w:type="textWrapping"/>
      </w:r>
      <w:r>
        <w:rPr>
          <w:rFonts w:hint="eastAsia"/>
          <w:highlight w:val="none"/>
        </w:rPr>
        <w:t xml:space="preserve">包：1 </w:t>
      </w:r>
      <w:r>
        <w:rPr>
          <w:rFonts w:hint="eastAsia"/>
          <w:highlight w:val="none"/>
        </w:rPr>
        <w:br w:type="textWrapping"/>
      </w:r>
      <w:r>
        <w:rPr>
          <w:rFonts w:hint="eastAsia"/>
          <w:highlight w:val="none"/>
        </w:rPr>
        <w:t xml:space="preserve">包一般情形 </w:t>
      </w:r>
      <w:r>
        <w:rPr>
          <w:highlight w:val="none"/>
        </w:rPr>
        <w:br w:type="textWrapping"/>
      </w:r>
      <w:r>
        <w:rPr>
          <w:rStyle w:val="38"/>
          <w:highlight w:val="none"/>
        </w:rPr>
        <w:t>         无</w:t>
      </w:r>
    </w:p>
    <w:p>
      <w:pPr>
        <w:widowControl/>
        <w:jc w:val="left"/>
        <w:rPr>
          <w:highlight w:val="none"/>
        </w:rPr>
      </w:pPr>
      <w:r>
        <w:rPr>
          <w:rFonts w:ascii="宋体" w:hAnsi="宋体" w:cs="宋体"/>
          <w:kern w:val="0"/>
          <w:sz w:val="24"/>
          <w:highlight w:val="none"/>
        </w:rPr>
        <w:br w:type="textWrapping"/>
      </w:r>
      <w:r>
        <w:rPr>
          <w:rFonts w:ascii="宋体" w:hAnsi="宋体" w:cs="宋体"/>
          <w:kern w:val="0"/>
          <w:sz w:val="24"/>
          <w:highlight w:val="none"/>
        </w:rPr>
        <w:t xml:space="preserve">技术符合性 </w:t>
      </w:r>
    </w:p>
    <w:tbl>
      <w:tblPr>
        <w:tblStyle w:val="33"/>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1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b/>
                <w:highlight w:val="none"/>
              </w:rPr>
            </w:pPr>
            <w:r>
              <w:rPr>
                <w:rFonts w:ascii="宋体" w:hAnsi="宋体" w:cs="宋体"/>
                <w:b/>
                <w:kern w:val="0"/>
                <w:sz w:val="24"/>
                <w:highlight w:val="none"/>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highlight w:val="none"/>
              </w:rPr>
            </w:pPr>
            <w:r>
              <w:rPr>
                <w:rFonts w:ascii="宋体" w:hAnsi="宋体" w:cs="宋体"/>
                <w:kern w:val="0"/>
                <w:sz w:val="24"/>
                <w:highlight w:val="none"/>
              </w:rPr>
              <w:t>评委会根据投标人提供的技术参数偏离表，对照招标文件要求的技术 参数进行比较，并根据投标货物的技术参数正、负偏离情况，技术参 数偏离对设备主要性能的影响权重情况进行打分。 注：投标人技术部分的实际得分少于招标文件设定的技术部分总分 50%的作为无效标处理。</w:t>
            </w:r>
          </w:p>
        </w:tc>
      </w:tr>
    </w:tbl>
    <w:p>
      <w:pPr>
        <w:widowControl/>
        <w:jc w:val="left"/>
        <w:rPr>
          <w:highlight w:val="none"/>
        </w:rPr>
      </w:pPr>
      <w:r>
        <w:rPr>
          <w:rFonts w:ascii="宋体" w:hAnsi="宋体" w:cs="宋体"/>
          <w:kern w:val="0"/>
          <w:sz w:val="24"/>
          <w:highlight w:val="none"/>
        </w:rPr>
        <w:br w:type="textWrapping"/>
      </w:r>
      <w:r>
        <w:rPr>
          <w:rFonts w:ascii="宋体" w:hAnsi="宋体" w:cs="宋体"/>
          <w:kern w:val="0"/>
          <w:sz w:val="24"/>
          <w:highlight w:val="none"/>
        </w:rPr>
        <w:t xml:space="preserve">商务符合性 </w:t>
      </w:r>
    </w:p>
    <w:tbl>
      <w:tblPr>
        <w:tblStyle w:val="33"/>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1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pPr>
              <w:widowControl/>
              <w:jc w:val="center"/>
              <w:rPr>
                <w:b/>
                <w:highlight w:val="none"/>
              </w:rPr>
            </w:pPr>
            <w:r>
              <w:rPr>
                <w:rFonts w:ascii="宋体" w:hAnsi="宋体" w:cs="宋体"/>
                <w:b/>
                <w:kern w:val="0"/>
                <w:sz w:val="24"/>
                <w:highlight w:val="none"/>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highlight w:val="none"/>
              </w:rPr>
            </w:pPr>
            <w:r>
              <w:rPr>
                <w:rFonts w:ascii="宋体" w:hAnsi="宋体" w:cs="宋体"/>
                <w:kern w:val="0"/>
                <w:sz w:val="24"/>
                <w:highlight w:val="none"/>
              </w:rPr>
              <w:t>评委会根据投标人提供的商务偏离表，对照招标文件商务要求进行比较，并根据投标人提供的商务部分正、负偏离情况，影响权重情况进行打分。</w:t>
            </w:r>
          </w:p>
        </w:tc>
      </w:tr>
    </w:tbl>
    <w:p>
      <w:pPr>
        <w:widowControl/>
        <w:jc w:val="left"/>
        <w:rPr>
          <w:highlight w:val="none"/>
        </w:rPr>
      </w:pPr>
      <w:r>
        <w:rPr>
          <w:rFonts w:ascii="宋体" w:hAnsi="宋体" w:cs="宋体"/>
          <w:kern w:val="0"/>
          <w:sz w:val="24"/>
          <w:highlight w:val="none"/>
        </w:rPr>
        <w:br w:type="textWrapping"/>
      </w:r>
      <w:r>
        <w:rPr>
          <w:rFonts w:ascii="宋体" w:hAnsi="宋体" w:cs="宋体"/>
          <w:kern w:val="0"/>
          <w:sz w:val="24"/>
          <w:highlight w:val="none"/>
        </w:rPr>
        <w:t>附加符合性</w:t>
      </w:r>
      <w:r>
        <w:rPr>
          <w:rFonts w:ascii="宋体" w:hAnsi="宋体" w:cs="宋体"/>
          <w:kern w:val="0"/>
          <w:sz w:val="24"/>
          <w:highlight w:val="none"/>
        </w:rPr>
        <w:br w:type="textWrapping"/>
      </w:r>
      <w:r>
        <w:rPr>
          <w:rStyle w:val="38"/>
          <w:rFonts w:ascii="宋体" w:hAnsi="宋体" w:cs="宋体"/>
          <w:kern w:val="0"/>
          <w:sz w:val="24"/>
          <w:highlight w:val="none"/>
        </w:rPr>
        <w:t>         无</w:t>
      </w:r>
      <w:r>
        <w:rPr>
          <w:rFonts w:ascii="宋体" w:hAnsi="宋体" w:cs="宋体"/>
          <w:kern w:val="0"/>
          <w:sz w:val="24"/>
          <w:highlight w:val="none"/>
        </w:rPr>
        <w:br w:type="textWrapping"/>
      </w:r>
      <w:r>
        <w:rPr>
          <w:rFonts w:ascii="宋体" w:hAnsi="宋体" w:cs="宋体"/>
          <w:kern w:val="0"/>
          <w:sz w:val="24"/>
          <w:highlight w:val="none"/>
        </w:rPr>
        <w:br w:type="textWrapping"/>
      </w:r>
      <w:r>
        <w:rPr>
          <w:rFonts w:ascii="宋体" w:hAnsi="宋体" w:cs="宋体"/>
          <w:kern w:val="0"/>
          <w:sz w:val="24"/>
          <w:highlight w:val="none"/>
        </w:rPr>
        <w:t xml:space="preserve">价格符合性 </w:t>
      </w:r>
    </w:p>
    <w:p>
      <w:pPr>
        <w:pStyle w:val="28"/>
        <w:spacing w:before="75" w:beforeAutospacing="0" w:after="75" w:afterAutospacing="0"/>
        <w:ind w:firstLine="480"/>
        <w:rPr>
          <w:highlight w:val="none"/>
        </w:rPr>
      </w:pPr>
      <w:r>
        <w:rPr>
          <w:rFonts w:hint="eastAsia"/>
          <w:highlight w:val="none"/>
        </w:rPr>
        <w:t>6.3澄清有关问题</w:t>
      </w:r>
    </w:p>
    <w:p>
      <w:pPr>
        <w:pStyle w:val="28"/>
        <w:spacing w:before="75" w:beforeAutospacing="0" w:after="75" w:afterAutospacing="0"/>
        <w:ind w:firstLine="420"/>
        <w:rPr>
          <w:highlight w:val="none"/>
        </w:rPr>
      </w:pPr>
      <w:r>
        <w:rPr>
          <w:rFonts w:hint="eastAsia"/>
          <w:highlight w:val="none"/>
        </w:rPr>
        <w:t>（1）对通过符合性审查的投标文件中含义不明确、同类问题表述不一致或有明显文字和计算错误的内容，评标委员会将以书面形式要求投标人作出必要的澄清、说明或补正。</w:t>
      </w:r>
    </w:p>
    <w:p>
      <w:pPr>
        <w:pStyle w:val="28"/>
        <w:spacing w:before="75" w:beforeAutospacing="0" w:after="75" w:afterAutospacing="0"/>
        <w:ind w:firstLine="420"/>
        <w:rPr>
          <w:highlight w:val="none"/>
        </w:rPr>
      </w:pPr>
      <w:r>
        <w:rPr>
          <w:rFonts w:hint="eastAsia"/>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28"/>
        <w:spacing w:before="75" w:beforeAutospacing="0" w:after="75" w:afterAutospacing="0"/>
        <w:ind w:firstLine="480"/>
        <w:rPr>
          <w:highlight w:val="none"/>
        </w:rPr>
      </w:pPr>
      <w:r>
        <w:rPr>
          <w:rFonts w:hint="eastAsia"/>
          <w:highlight w:val="none"/>
        </w:rPr>
        <w:t>（3）投标文件报价出现前后不一致的，除招标文件另有规定外，按照下列规定修正：</w:t>
      </w:r>
    </w:p>
    <w:p>
      <w:pPr>
        <w:pStyle w:val="28"/>
        <w:spacing w:before="75" w:beforeAutospacing="0" w:after="75" w:afterAutospacing="0"/>
        <w:ind w:firstLine="480"/>
        <w:rPr>
          <w:highlight w:val="none"/>
        </w:rPr>
      </w:pPr>
      <w:r>
        <w:rPr>
          <w:rFonts w:hint="eastAsia"/>
          <w:highlight w:val="none"/>
        </w:rPr>
        <w:t>①开标一览表内容与投标文件中相应内容不一致的，以开标一览表为准；</w:t>
      </w:r>
    </w:p>
    <w:p>
      <w:pPr>
        <w:pStyle w:val="28"/>
        <w:spacing w:before="75" w:beforeAutospacing="0" w:after="75" w:afterAutospacing="0"/>
        <w:ind w:firstLine="480"/>
        <w:rPr>
          <w:highlight w:val="none"/>
        </w:rPr>
      </w:pPr>
      <w:r>
        <w:rPr>
          <w:rFonts w:hint="eastAsia"/>
          <w:highlight w:val="none"/>
        </w:rPr>
        <w:t>②大写金额和小写金额不一致的，以大写金额为准；</w:t>
      </w:r>
    </w:p>
    <w:p>
      <w:pPr>
        <w:pStyle w:val="28"/>
        <w:spacing w:before="75" w:beforeAutospacing="0" w:after="75" w:afterAutospacing="0"/>
        <w:ind w:firstLine="480"/>
        <w:rPr>
          <w:highlight w:val="none"/>
        </w:rPr>
      </w:pPr>
      <w:r>
        <w:rPr>
          <w:rFonts w:hint="eastAsia"/>
          <w:highlight w:val="none"/>
        </w:rPr>
        <w:t>③单价金额小数点或百分比有明显错位的，以开标一览表的总价为准，并修改单价；</w:t>
      </w:r>
    </w:p>
    <w:p>
      <w:pPr>
        <w:pStyle w:val="28"/>
        <w:spacing w:before="75" w:beforeAutospacing="0" w:after="75" w:afterAutospacing="0"/>
        <w:ind w:firstLine="480"/>
        <w:rPr>
          <w:highlight w:val="none"/>
        </w:rPr>
      </w:pPr>
      <w:r>
        <w:rPr>
          <w:rFonts w:hint="eastAsia"/>
          <w:highlight w:val="none"/>
        </w:rPr>
        <w:t>④总价金额与按照单价汇总金额不一致的，以单价金额计算结果为准。</w:t>
      </w:r>
    </w:p>
    <w:p>
      <w:pPr>
        <w:pStyle w:val="28"/>
        <w:spacing w:before="75" w:beforeAutospacing="0" w:after="75" w:afterAutospacing="0"/>
        <w:ind w:firstLine="480"/>
        <w:rPr>
          <w:highlight w:val="none"/>
        </w:rPr>
      </w:pPr>
      <w:r>
        <w:rPr>
          <w:rStyle w:val="38"/>
          <w:rFonts w:hint="eastAsia"/>
          <w:highlight w:val="none"/>
        </w:rPr>
        <w:t>※同时出现两种以上不一致的，按照前款规定的顺序修正。修正后的报价应按照本章第</w:t>
      </w:r>
      <w:r>
        <w:rPr>
          <w:rStyle w:val="38"/>
          <w:rFonts w:ascii="Calibri" w:hAnsi="Calibri" w:cs="Calibri"/>
          <w:highlight w:val="none"/>
        </w:rPr>
        <w:t>6.3</w:t>
      </w:r>
      <w:r>
        <w:rPr>
          <w:rStyle w:val="38"/>
          <w:rFonts w:hint="eastAsia"/>
          <w:highlight w:val="none"/>
        </w:rPr>
        <w:t>条第（</w:t>
      </w:r>
      <w:r>
        <w:rPr>
          <w:rStyle w:val="38"/>
          <w:rFonts w:ascii="Calibri" w:hAnsi="Calibri" w:cs="Calibri"/>
          <w:highlight w:val="none"/>
        </w:rPr>
        <w:t>1</w:t>
      </w:r>
      <w:r>
        <w:rPr>
          <w:rStyle w:val="38"/>
          <w:rFonts w:hint="eastAsia"/>
          <w:highlight w:val="none"/>
        </w:rPr>
        <w:t>）、（</w:t>
      </w:r>
      <w:r>
        <w:rPr>
          <w:rStyle w:val="38"/>
          <w:rFonts w:ascii="Calibri" w:hAnsi="Calibri" w:cs="Calibri"/>
          <w:highlight w:val="none"/>
        </w:rPr>
        <w:t>2</w:t>
      </w:r>
      <w:r>
        <w:rPr>
          <w:rStyle w:val="38"/>
          <w:rFonts w:hint="eastAsia"/>
          <w:highlight w:val="none"/>
        </w:rPr>
        <w:t>）款规定经投标人确认后产生约束力，投标人不确认的，其投标无效。</w:t>
      </w:r>
    </w:p>
    <w:p>
      <w:pPr>
        <w:pStyle w:val="28"/>
        <w:spacing w:before="75" w:beforeAutospacing="0" w:after="75" w:afterAutospacing="0"/>
        <w:ind w:firstLine="480"/>
        <w:rPr>
          <w:highlight w:val="none"/>
        </w:rPr>
      </w:pPr>
      <w:r>
        <w:rPr>
          <w:rFonts w:hint="eastAsia"/>
          <w:highlight w:val="none"/>
        </w:rPr>
        <w:t>（4）关于细微偏差</w:t>
      </w:r>
    </w:p>
    <w:p>
      <w:pPr>
        <w:pStyle w:val="28"/>
        <w:spacing w:before="75" w:beforeAutospacing="0" w:after="75" w:afterAutospacing="0"/>
        <w:ind w:firstLine="480"/>
        <w:rPr>
          <w:highlight w:val="none"/>
        </w:rPr>
      </w:pPr>
      <w:r>
        <w:rPr>
          <w:rFonts w:hint="eastAsia"/>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28"/>
        <w:spacing w:before="75" w:beforeAutospacing="0" w:after="75" w:afterAutospacing="0"/>
        <w:ind w:firstLine="480"/>
        <w:rPr>
          <w:highlight w:val="none"/>
        </w:rPr>
      </w:pPr>
      <w:r>
        <w:rPr>
          <w:rFonts w:hint="eastAsia"/>
          <w:highlight w:val="none"/>
        </w:rPr>
        <w:t>②评标委员会将以书面形式要求存在细微偏差的投标人在评标委员会规定的时间内予以补正。若无法补正，则评标委员会将按照不利于投标人的内容进行认定。</w:t>
      </w:r>
    </w:p>
    <w:p>
      <w:pPr>
        <w:pStyle w:val="28"/>
        <w:spacing w:before="75" w:beforeAutospacing="0" w:after="75" w:afterAutospacing="0"/>
        <w:ind w:firstLine="480"/>
        <w:rPr>
          <w:highlight w:val="none"/>
        </w:rPr>
      </w:pPr>
      <w:r>
        <w:rPr>
          <w:rFonts w:hint="eastAsia"/>
          <w:highlight w:val="none"/>
        </w:rPr>
        <w:t>（5）关于投标描述（即投标文件中描述的内容）</w:t>
      </w:r>
    </w:p>
    <w:p>
      <w:pPr>
        <w:pStyle w:val="28"/>
        <w:spacing w:before="75" w:beforeAutospacing="0" w:after="75" w:afterAutospacing="0"/>
        <w:ind w:firstLine="480"/>
        <w:rPr>
          <w:highlight w:val="none"/>
        </w:rPr>
      </w:pPr>
      <w:r>
        <w:rPr>
          <w:rFonts w:hint="eastAsia"/>
          <w:highlight w:val="none"/>
        </w:rPr>
        <w:t>①投标描述前后不一致且不涉及证明材料的：按照本章第</w:t>
      </w:r>
      <w:r>
        <w:rPr>
          <w:rFonts w:ascii="Calibri" w:hAnsi="Calibri" w:cs="Calibri"/>
          <w:highlight w:val="none"/>
        </w:rPr>
        <w:t>6.3</w:t>
      </w:r>
      <w:r>
        <w:rPr>
          <w:rFonts w:hint="eastAsia"/>
          <w:highlight w:val="none"/>
        </w:rPr>
        <w:t>条第（</w:t>
      </w:r>
      <w:r>
        <w:rPr>
          <w:rFonts w:ascii="Calibri" w:hAnsi="Calibri" w:cs="Calibri"/>
          <w:highlight w:val="none"/>
        </w:rPr>
        <w:t>1</w:t>
      </w:r>
      <w:r>
        <w:rPr>
          <w:rFonts w:hint="eastAsia"/>
          <w:highlight w:val="none"/>
        </w:rPr>
        <w:t>）、（</w:t>
      </w:r>
      <w:r>
        <w:rPr>
          <w:rFonts w:ascii="Calibri" w:hAnsi="Calibri" w:cs="Calibri"/>
          <w:highlight w:val="none"/>
        </w:rPr>
        <w:t>2</w:t>
      </w:r>
      <w:r>
        <w:rPr>
          <w:rFonts w:hint="eastAsia"/>
          <w:highlight w:val="none"/>
        </w:rPr>
        <w:t>）款规定执行。</w:t>
      </w:r>
    </w:p>
    <w:p>
      <w:pPr>
        <w:pStyle w:val="28"/>
        <w:spacing w:before="75" w:beforeAutospacing="0" w:after="75" w:afterAutospacing="0"/>
        <w:ind w:firstLine="480"/>
        <w:rPr>
          <w:highlight w:val="none"/>
        </w:rPr>
      </w:pPr>
      <w:r>
        <w:rPr>
          <w:rFonts w:hint="eastAsia"/>
          <w:highlight w:val="none"/>
        </w:rPr>
        <w:t>②投标描述与证明材料不一致或多份证明材料之间不一致的：</w:t>
      </w:r>
    </w:p>
    <w:p>
      <w:pPr>
        <w:pStyle w:val="28"/>
        <w:spacing w:before="75" w:beforeAutospacing="0" w:after="75" w:afterAutospacing="0"/>
        <w:ind w:firstLine="480"/>
        <w:rPr>
          <w:highlight w:val="none"/>
        </w:rPr>
      </w:pPr>
      <w:r>
        <w:rPr>
          <w:rFonts w:hint="eastAsia"/>
          <w:highlight w:val="none"/>
        </w:rPr>
        <w:t>a.评标委员会将要求投标人进行书面澄清，并按照不利于投标人的内容进行评标。</w:t>
      </w:r>
    </w:p>
    <w:p>
      <w:pPr>
        <w:pStyle w:val="28"/>
        <w:spacing w:before="75" w:beforeAutospacing="0" w:after="75" w:afterAutospacing="0"/>
        <w:ind w:firstLine="480"/>
        <w:rPr>
          <w:highlight w:val="none"/>
        </w:rPr>
      </w:pPr>
      <w:r>
        <w:rPr>
          <w:rFonts w:hint="eastAsia"/>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28"/>
        <w:spacing w:before="75" w:beforeAutospacing="0" w:after="75" w:afterAutospacing="0"/>
        <w:ind w:firstLine="480"/>
        <w:rPr>
          <w:highlight w:val="none"/>
        </w:rPr>
      </w:pPr>
      <w:r>
        <w:rPr>
          <w:rFonts w:hint="eastAsia"/>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28"/>
        <w:spacing w:before="75" w:beforeAutospacing="0" w:after="75" w:afterAutospacing="0"/>
        <w:rPr>
          <w:highlight w:val="none"/>
        </w:rPr>
      </w:pPr>
      <w:r>
        <w:rPr>
          <w:rFonts w:hint="eastAsia"/>
          <w:highlight w:val="none"/>
        </w:rPr>
        <w:t>6.4比较与评价</w:t>
      </w:r>
    </w:p>
    <w:p>
      <w:pPr>
        <w:pStyle w:val="28"/>
        <w:spacing w:before="75" w:beforeAutospacing="0" w:after="75" w:afterAutospacing="0"/>
        <w:ind w:firstLine="480"/>
        <w:rPr>
          <w:highlight w:val="none"/>
        </w:rPr>
      </w:pPr>
      <w:r>
        <w:rPr>
          <w:rFonts w:hint="eastAsia"/>
          <w:highlight w:val="none"/>
        </w:rPr>
        <w:t>（1）按照本章第</w:t>
      </w:r>
      <w:r>
        <w:rPr>
          <w:rFonts w:ascii="Calibri" w:hAnsi="Calibri" w:cs="Calibri"/>
          <w:highlight w:val="none"/>
        </w:rPr>
        <w:t>7</w:t>
      </w:r>
      <w:r>
        <w:rPr>
          <w:rFonts w:hint="eastAsia"/>
          <w:highlight w:val="none"/>
        </w:rPr>
        <w:t>条载明的评标方法和标准，对符合性审查合格的投标文件进行比较与评价。</w:t>
      </w:r>
    </w:p>
    <w:p>
      <w:pPr>
        <w:pStyle w:val="28"/>
        <w:spacing w:before="75" w:beforeAutospacing="0" w:after="75" w:afterAutospacing="0"/>
        <w:ind w:firstLine="480"/>
        <w:rPr>
          <w:highlight w:val="none"/>
        </w:rPr>
      </w:pPr>
      <w:r>
        <w:rPr>
          <w:rFonts w:hint="eastAsia"/>
          <w:highlight w:val="none"/>
        </w:rPr>
        <w:t>（2）关于相同品牌产品</w:t>
      </w:r>
      <w:r>
        <w:rPr>
          <w:rStyle w:val="38"/>
          <w:rFonts w:hint="eastAsia"/>
          <w:highlight w:val="none"/>
        </w:rPr>
        <w:t>（采购服务类项目不适用本条款规定）</w:t>
      </w:r>
    </w:p>
    <w:p>
      <w:pPr>
        <w:pStyle w:val="28"/>
        <w:spacing w:before="75" w:beforeAutospacing="0" w:after="75" w:afterAutospacing="0"/>
        <w:ind w:firstLine="480"/>
        <w:rPr>
          <w:highlight w:val="none"/>
        </w:rPr>
      </w:pPr>
      <w:r>
        <w:rPr>
          <w:rFonts w:hint="eastAsia"/>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28"/>
        <w:spacing w:before="75" w:beforeAutospacing="0" w:after="75" w:afterAutospacing="0"/>
        <w:ind w:firstLine="480"/>
        <w:rPr>
          <w:highlight w:val="none"/>
        </w:rPr>
      </w:pPr>
      <w:r>
        <w:rPr>
          <w:rFonts w:hint="eastAsia"/>
          <w:highlight w:val="none"/>
        </w:rPr>
        <w:t>a.招标文件规定的方式：</w:t>
      </w:r>
      <w:r>
        <w:rPr>
          <w:rStyle w:val="108"/>
          <w:highlight w:val="none"/>
          <w:u w:val="single"/>
        </w:rPr>
        <w:t>无。</w:t>
      </w:r>
      <w:r>
        <w:rPr>
          <w:rFonts w:hint="eastAsia"/>
          <w:highlight w:val="none"/>
        </w:rPr>
        <w:t>。</w:t>
      </w:r>
    </w:p>
    <w:p>
      <w:pPr>
        <w:pStyle w:val="28"/>
        <w:spacing w:before="75" w:beforeAutospacing="0" w:after="75" w:afterAutospacing="0"/>
        <w:ind w:firstLine="480"/>
        <w:rPr>
          <w:highlight w:val="none"/>
        </w:rPr>
      </w:pPr>
      <w:r>
        <w:rPr>
          <w:rFonts w:hint="eastAsia"/>
          <w:highlight w:val="none"/>
        </w:rPr>
        <w:t>b.招标文件未规定的，采取随机抽取方式确定，其他</w:t>
      </w:r>
      <w:r>
        <w:rPr>
          <w:rStyle w:val="38"/>
          <w:rFonts w:hint="eastAsia"/>
          <w:highlight w:val="none"/>
        </w:rPr>
        <w:t>投标无效。</w:t>
      </w:r>
    </w:p>
    <w:p>
      <w:pPr>
        <w:pStyle w:val="28"/>
        <w:spacing w:before="75" w:beforeAutospacing="0" w:after="75" w:afterAutospacing="0"/>
        <w:ind w:firstLine="480"/>
        <w:rPr>
          <w:highlight w:val="none"/>
        </w:rPr>
      </w:pPr>
      <w:r>
        <w:rPr>
          <w:rFonts w:hint="eastAsia"/>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28"/>
        <w:spacing w:before="75" w:beforeAutospacing="0" w:after="75" w:afterAutospacing="0"/>
        <w:ind w:firstLine="480"/>
        <w:rPr>
          <w:highlight w:val="none"/>
        </w:rPr>
      </w:pPr>
      <w:r>
        <w:rPr>
          <w:rFonts w:hint="eastAsia"/>
          <w:highlight w:val="none"/>
        </w:rPr>
        <w:t>a.招标文件规定的方式：</w:t>
      </w:r>
      <w:r>
        <w:rPr>
          <w:rStyle w:val="108"/>
          <w:highlight w:val="none"/>
          <w:u w:val="single"/>
        </w:rPr>
        <w:t>无。</w:t>
      </w:r>
      <w:r>
        <w:rPr>
          <w:rFonts w:hint="eastAsia"/>
          <w:highlight w:val="none"/>
        </w:rPr>
        <w:t>。</w:t>
      </w:r>
    </w:p>
    <w:p>
      <w:pPr>
        <w:pStyle w:val="28"/>
        <w:spacing w:before="75" w:beforeAutospacing="0" w:after="75" w:afterAutospacing="0"/>
        <w:ind w:firstLine="480"/>
        <w:rPr>
          <w:highlight w:val="none"/>
        </w:rPr>
      </w:pPr>
      <w:r>
        <w:rPr>
          <w:rFonts w:hint="eastAsia"/>
          <w:highlight w:val="none"/>
        </w:rPr>
        <w:t>b.招标文件未规定的，采取随机抽取方式确定，其他同品牌投标人不作为中标候选人。</w:t>
      </w:r>
    </w:p>
    <w:p>
      <w:pPr>
        <w:pStyle w:val="28"/>
        <w:spacing w:before="75" w:beforeAutospacing="0" w:after="75" w:afterAutospacing="0"/>
        <w:ind w:firstLine="480"/>
        <w:rPr>
          <w:highlight w:val="none"/>
        </w:rPr>
      </w:pPr>
      <w:r>
        <w:rPr>
          <w:rFonts w:hint="eastAsia"/>
          <w:highlight w:val="none"/>
        </w:rPr>
        <w:t>③非单一产品采购项目，多家投标人提供的核心产品品牌相同的，按照本章第</w:t>
      </w:r>
      <w:r>
        <w:rPr>
          <w:rFonts w:ascii="Calibri" w:hAnsi="Calibri" w:cs="Calibri"/>
          <w:highlight w:val="none"/>
        </w:rPr>
        <w:t>6.4</w:t>
      </w:r>
      <w:r>
        <w:rPr>
          <w:rFonts w:hint="eastAsia"/>
          <w:highlight w:val="none"/>
        </w:rPr>
        <w:t>条第（</w:t>
      </w:r>
      <w:r>
        <w:rPr>
          <w:rFonts w:ascii="Calibri" w:hAnsi="Calibri" w:cs="Calibri"/>
          <w:highlight w:val="none"/>
        </w:rPr>
        <w:t>2</w:t>
      </w:r>
      <w:r>
        <w:rPr>
          <w:rFonts w:hint="eastAsia"/>
          <w:highlight w:val="none"/>
        </w:rPr>
        <w:t>）款第①、②规定处理。</w:t>
      </w:r>
    </w:p>
    <w:p>
      <w:pPr>
        <w:pStyle w:val="28"/>
        <w:spacing w:before="75" w:beforeAutospacing="0" w:after="75" w:afterAutospacing="0"/>
        <w:ind w:firstLine="480"/>
        <w:rPr>
          <w:highlight w:val="none"/>
        </w:rPr>
      </w:pPr>
      <w:r>
        <w:rPr>
          <w:rFonts w:hint="eastAsia"/>
          <w:highlight w:val="none"/>
        </w:rPr>
        <w:t>（3）漏（缺）项</w:t>
      </w:r>
    </w:p>
    <w:p>
      <w:pPr>
        <w:pStyle w:val="28"/>
        <w:spacing w:before="75" w:beforeAutospacing="0" w:after="75" w:afterAutospacing="0"/>
        <w:ind w:firstLine="480"/>
        <w:rPr>
          <w:highlight w:val="none"/>
        </w:rPr>
      </w:pPr>
      <w:r>
        <w:rPr>
          <w:rFonts w:hint="eastAsia"/>
          <w:highlight w:val="none"/>
        </w:rPr>
        <w:t>①招标文件中要求列入报价的费用（含配置、功能），漏（缺）项的报价视为已经包括在投标总价中。</w:t>
      </w:r>
    </w:p>
    <w:p>
      <w:pPr>
        <w:pStyle w:val="28"/>
        <w:spacing w:before="75" w:beforeAutospacing="0" w:after="75" w:afterAutospacing="0"/>
        <w:ind w:firstLine="480"/>
        <w:rPr>
          <w:highlight w:val="none"/>
        </w:rPr>
      </w:pPr>
      <w:r>
        <w:rPr>
          <w:rFonts w:hint="eastAsia"/>
          <w:highlight w:val="none"/>
        </w:rPr>
        <w:t>②对多报项及赠送项的价格评标时不予核减，全部进入评标价评议。</w:t>
      </w:r>
    </w:p>
    <w:p>
      <w:pPr>
        <w:pStyle w:val="28"/>
        <w:spacing w:before="75" w:beforeAutospacing="0" w:after="75" w:afterAutospacing="0"/>
        <w:rPr>
          <w:highlight w:val="none"/>
        </w:rPr>
      </w:pPr>
      <w:r>
        <w:rPr>
          <w:rFonts w:hint="eastAsia"/>
          <w:highlight w:val="none"/>
        </w:rPr>
        <w:t>6.5推荐中标候选人：详见本章第</w:t>
      </w:r>
      <w:r>
        <w:rPr>
          <w:rFonts w:ascii="Calibri" w:hAnsi="Calibri" w:cs="Calibri"/>
          <w:highlight w:val="none"/>
        </w:rPr>
        <w:t>7.2</w:t>
      </w:r>
      <w:r>
        <w:rPr>
          <w:rFonts w:hint="eastAsia"/>
          <w:highlight w:val="none"/>
        </w:rPr>
        <w:t>条规定。</w:t>
      </w:r>
    </w:p>
    <w:p>
      <w:pPr>
        <w:pStyle w:val="28"/>
        <w:spacing w:before="75" w:beforeAutospacing="0" w:after="75" w:afterAutospacing="0"/>
        <w:rPr>
          <w:highlight w:val="none"/>
        </w:rPr>
      </w:pPr>
      <w:r>
        <w:rPr>
          <w:rFonts w:hint="eastAsia"/>
          <w:highlight w:val="none"/>
        </w:rPr>
        <w:t>6.6编写评标报告</w:t>
      </w:r>
    </w:p>
    <w:p>
      <w:pPr>
        <w:pStyle w:val="28"/>
        <w:spacing w:before="75" w:beforeAutospacing="0" w:after="75" w:afterAutospacing="0"/>
        <w:ind w:firstLine="480"/>
        <w:rPr>
          <w:highlight w:val="none"/>
        </w:rPr>
      </w:pPr>
      <w:r>
        <w:rPr>
          <w:rFonts w:hint="eastAsia"/>
          <w:highlight w:val="none"/>
        </w:rPr>
        <w:t>（1）评标报告由评标委员会负责编写。</w:t>
      </w:r>
    </w:p>
    <w:p>
      <w:pPr>
        <w:pStyle w:val="28"/>
        <w:spacing w:before="75" w:beforeAutospacing="0" w:after="75" w:afterAutospacing="0"/>
        <w:ind w:firstLine="480"/>
        <w:rPr>
          <w:highlight w:val="none"/>
        </w:rPr>
      </w:pPr>
      <w:r>
        <w:rPr>
          <w:rFonts w:hint="eastAsia"/>
          <w:highlight w:val="none"/>
        </w:rPr>
        <w:t>（2）评标报告应包括下列内容：</w:t>
      </w:r>
    </w:p>
    <w:p>
      <w:pPr>
        <w:pStyle w:val="28"/>
        <w:spacing w:before="75" w:beforeAutospacing="0" w:after="75" w:afterAutospacing="0"/>
        <w:ind w:firstLine="480"/>
        <w:rPr>
          <w:highlight w:val="none"/>
        </w:rPr>
      </w:pPr>
      <w:r>
        <w:rPr>
          <w:rFonts w:hint="eastAsia"/>
          <w:highlight w:val="none"/>
        </w:rPr>
        <w:t>①招标公告刊登的媒体名称、开标日期和地点；</w:t>
      </w:r>
    </w:p>
    <w:p>
      <w:pPr>
        <w:pStyle w:val="28"/>
        <w:spacing w:before="75" w:beforeAutospacing="0" w:after="75" w:afterAutospacing="0"/>
        <w:ind w:firstLine="480"/>
        <w:rPr>
          <w:highlight w:val="none"/>
        </w:rPr>
      </w:pPr>
      <w:r>
        <w:rPr>
          <w:rFonts w:hint="eastAsia"/>
          <w:highlight w:val="none"/>
        </w:rPr>
        <w:t>②投标人名单和评标委员会成员名单；</w:t>
      </w:r>
    </w:p>
    <w:p>
      <w:pPr>
        <w:pStyle w:val="28"/>
        <w:spacing w:before="75" w:beforeAutospacing="0" w:after="75" w:afterAutospacing="0"/>
        <w:ind w:firstLine="480"/>
        <w:rPr>
          <w:highlight w:val="none"/>
        </w:rPr>
      </w:pPr>
      <w:r>
        <w:rPr>
          <w:rFonts w:hint="eastAsia"/>
          <w:highlight w:val="none"/>
        </w:rPr>
        <w:t>③评标方法和标准；</w:t>
      </w:r>
    </w:p>
    <w:p>
      <w:pPr>
        <w:pStyle w:val="28"/>
        <w:spacing w:before="75" w:beforeAutospacing="0" w:after="75" w:afterAutospacing="0"/>
        <w:ind w:firstLine="480"/>
        <w:rPr>
          <w:highlight w:val="none"/>
        </w:rPr>
      </w:pPr>
      <w:r>
        <w:rPr>
          <w:rFonts w:hint="eastAsia"/>
          <w:highlight w:val="none"/>
        </w:rPr>
        <w:t>④开标记录和评标情况及说明，包括无效投标人名单及原因；</w:t>
      </w:r>
    </w:p>
    <w:p>
      <w:pPr>
        <w:pStyle w:val="28"/>
        <w:spacing w:before="75" w:beforeAutospacing="0" w:after="75" w:afterAutospacing="0"/>
        <w:ind w:firstLine="480"/>
        <w:rPr>
          <w:highlight w:val="none"/>
        </w:rPr>
      </w:pPr>
      <w:r>
        <w:rPr>
          <w:rFonts w:hint="eastAsia"/>
          <w:highlight w:val="none"/>
        </w:rPr>
        <w:t>⑤评标结果，包括中标候选人名单或确定的中标人；</w:t>
      </w:r>
    </w:p>
    <w:p>
      <w:pPr>
        <w:pStyle w:val="28"/>
        <w:spacing w:before="75" w:beforeAutospacing="0" w:after="75" w:afterAutospacing="0"/>
        <w:ind w:firstLine="480"/>
        <w:rPr>
          <w:highlight w:val="none"/>
        </w:rPr>
      </w:pPr>
      <w:r>
        <w:rPr>
          <w:rFonts w:hint="eastAsia"/>
          <w:highlight w:val="none"/>
        </w:rPr>
        <w:t>⑥其他需要说明的情况，包括但不限于：评标过程中投标人的澄清、说明或补正，评委更换等。</w:t>
      </w:r>
    </w:p>
    <w:p>
      <w:pPr>
        <w:pStyle w:val="28"/>
        <w:spacing w:before="75" w:beforeAutospacing="0" w:after="75" w:afterAutospacing="0"/>
        <w:rPr>
          <w:highlight w:val="none"/>
        </w:rPr>
      </w:pPr>
      <w:r>
        <w:rPr>
          <w:rFonts w:hint="eastAsia"/>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38"/>
          <w:rFonts w:hint="eastAsia"/>
          <w:highlight w:val="none"/>
        </w:rPr>
        <w:t>投标无效</w:t>
      </w:r>
      <w:r>
        <w:rPr>
          <w:rFonts w:hint="eastAsia"/>
          <w:highlight w:val="none"/>
        </w:rPr>
        <w:t>处理。</w:t>
      </w:r>
    </w:p>
    <w:p>
      <w:pPr>
        <w:pStyle w:val="28"/>
        <w:spacing w:before="75" w:beforeAutospacing="0" w:after="75" w:afterAutospacing="0"/>
        <w:rPr>
          <w:highlight w:val="none"/>
        </w:rPr>
      </w:pPr>
      <w:r>
        <w:rPr>
          <w:rFonts w:hint="eastAsia"/>
          <w:highlight w:val="none"/>
        </w:rPr>
        <w:t>6.8评委对需要共同认定的事项存在争议的，应按照少数服从多数的原则进行认定。</w:t>
      </w:r>
      <w:r>
        <w:rPr>
          <w:rStyle w:val="38"/>
          <w:rFonts w:hint="eastAsia"/>
          <w:highlight w:val="none"/>
        </w:rPr>
        <w:t>持不同意见的评委应在评标报告上签署不同意见及理由，否则视为同意评标报告。</w:t>
      </w:r>
    </w:p>
    <w:p>
      <w:pPr>
        <w:pStyle w:val="28"/>
        <w:spacing w:before="75" w:beforeAutospacing="0" w:after="75" w:afterAutospacing="0"/>
        <w:rPr>
          <w:highlight w:val="none"/>
        </w:rPr>
      </w:pPr>
      <w:r>
        <w:rPr>
          <w:rFonts w:hint="eastAsia"/>
          <w:highlight w:val="none"/>
        </w:rPr>
        <w:t>6.9在评标过程中发现投标人有下列情形之一的，评标委员会应认定其</w:t>
      </w:r>
      <w:r>
        <w:rPr>
          <w:rStyle w:val="38"/>
          <w:rFonts w:hint="eastAsia"/>
          <w:highlight w:val="none"/>
        </w:rPr>
        <w:t>投标无效</w:t>
      </w:r>
      <w:r>
        <w:rPr>
          <w:rFonts w:hint="eastAsia"/>
          <w:highlight w:val="none"/>
        </w:rPr>
        <w:t>，并书面报告本项目监督管理部门：</w:t>
      </w:r>
    </w:p>
    <w:p>
      <w:pPr>
        <w:pStyle w:val="28"/>
        <w:spacing w:before="75" w:beforeAutospacing="0" w:after="75" w:afterAutospacing="0"/>
        <w:ind w:firstLine="480"/>
        <w:rPr>
          <w:highlight w:val="none"/>
        </w:rPr>
      </w:pPr>
      <w:r>
        <w:rPr>
          <w:rFonts w:hint="eastAsia"/>
          <w:highlight w:val="none"/>
        </w:rPr>
        <w:t>（1）恶意串通（包括但不限于招标文件第三章第</w:t>
      </w:r>
      <w:r>
        <w:rPr>
          <w:rFonts w:ascii="Calibri" w:hAnsi="Calibri" w:cs="Calibri"/>
          <w:highlight w:val="none"/>
        </w:rPr>
        <w:t>9.7</w:t>
      </w:r>
      <w:r>
        <w:rPr>
          <w:rFonts w:hint="eastAsia"/>
          <w:highlight w:val="none"/>
        </w:rPr>
        <w:t>条规定情形）；</w:t>
      </w:r>
    </w:p>
    <w:p>
      <w:pPr>
        <w:pStyle w:val="28"/>
        <w:spacing w:before="75" w:beforeAutospacing="0" w:after="75" w:afterAutospacing="0"/>
        <w:ind w:firstLine="480"/>
        <w:rPr>
          <w:highlight w:val="none"/>
        </w:rPr>
      </w:pPr>
      <w:r>
        <w:rPr>
          <w:rFonts w:hint="eastAsia"/>
          <w:highlight w:val="none"/>
        </w:rPr>
        <w:t>（2）妨碍其他投标人的竞争行为；</w:t>
      </w:r>
    </w:p>
    <w:p>
      <w:pPr>
        <w:pStyle w:val="28"/>
        <w:spacing w:before="75" w:beforeAutospacing="0" w:after="75" w:afterAutospacing="0"/>
        <w:ind w:firstLine="480"/>
        <w:rPr>
          <w:highlight w:val="none"/>
        </w:rPr>
      </w:pPr>
      <w:r>
        <w:rPr>
          <w:rFonts w:hint="eastAsia"/>
          <w:highlight w:val="none"/>
        </w:rPr>
        <w:t>（3）损害采购人或其他投标人的合法权益。</w:t>
      </w:r>
    </w:p>
    <w:p>
      <w:pPr>
        <w:pStyle w:val="28"/>
        <w:spacing w:before="75" w:beforeAutospacing="0" w:after="75" w:afterAutospacing="0"/>
        <w:rPr>
          <w:highlight w:val="none"/>
        </w:rPr>
      </w:pPr>
      <w:r>
        <w:rPr>
          <w:rFonts w:hint="eastAsia"/>
          <w:highlight w:val="none"/>
        </w:rPr>
        <w:t>6.10评标过程中，有下列情形之一的，应予废标：</w:t>
      </w:r>
    </w:p>
    <w:p>
      <w:pPr>
        <w:pStyle w:val="28"/>
        <w:spacing w:before="75" w:beforeAutospacing="0" w:after="75" w:afterAutospacing="0"/>
        <w:ind w:firstLine="480"/>
        <w:rPr>
          <w:highlight w:val="none"/>
        </w:rPr>
      </w:pPr>
      <w:r>
        <w:rPr>
          <w:rFonts w:hint="eastAsia"/>
          <w:highlight w:val="none"/>
        </w:rPr>
        <w:t>（1）符合性审查合格的投标人不足三家的；</w:t>
      </w:r>
    </w:p>
    <w:p>
      <w:pPr>
        <w:pStyle w:val="28"/>
        <w:spacing w:before="75" w:beforeAutospacing="0" w:after="75" w:afterAutospacing="0"/>
        <w:ind w:firstLine="480"/>
        <w:rPr>
          <w:highlight w:val="none"/>
        </w:rPr>
      </w:pPr>
      <w:r>
        <w:rPr>
          <w:rFonts w:hint="eastAsia"/>
          <w:highlight w:val="none"/>
        </w:rPr>
        <w:t>（2）有关法律、法规和规章规定废标的情形。</w:t>
      </w:r>
    </w:p>
    <w:p>
      <w:pPr>
        <w:pStyle w:val="28"/>
        <w:spacing w:before="75" w:beforeAutospacing="0" w:after="75" w:afterAutospacing="0"/>
        <w:ind w:firstLine="480"/>
        <w:rPr>
          <w:highlight w:val="none"/>
        </w:rPr>
      </w:pPr>
      <w:r>
        <w:rPr>
          <w:rStyle w:val="38"/>
          <w:rFonts w:hint="eastAsia"/>
          <w:highlight w:val="none"/>
        </w:rPr>
        <w:t>※若废标，则本次采购活动结束，</w:t>
      </w:r>
      <w:r>
        <w:rPr>
          <w:rFonts w:hint="eastAsia"/>
          <w:highlight w:val="none"/>
          <w:u w:val="single"/>
        </w:rPr>
        <w:t>福建中福天缘工程造价咨询有限公司</w:t>
      </w:r>
      <w:r>
        <w:rPr>
          <w:rStyle w:val="38"/>
          <w:rFonts w:hint="eastAsia"/>
          <w:highlight w:val="none"/>
        </w:rPr>
        <w:t>将依法组织后续采购活动（包括但不限于：重新招标、采用其他方式采购等）。</w:t>
      </w:r>
    </w:p>
    <w:p>
      <w:pPr>
        <w:pStyle w:val="28"/>
        <w:spacing w:before="75" w:beforeAutospacing="0" w:after="75" w:afterAutospacing="0"/>
        <w:rPr>
          <w:highlight w:val="none"/>
        </w:rPr>
      </w:pPr>
      <w:r>
        <w:rPr>
          <w:rFonts w:hint="eastAsia"/>
          <w:highlight w:val="none"/>
        </w:rPr>
        <w:t>7、评标方法和标准</w:t>
      </w:r>
    </w:p>
    <w:p>
      <w:pPr>
        <w:pStyle w:val="28"/>
        <w:spacing w:before="75" w:beforeAutospacing="0" w:after="75" w:afterAutospacing="0"/>
        <w:rPr>
          <w:highlight w:val="none"/>
        </w:rPr>
      </w:pPr>
      <w:r>
        <w:rPr>
          <w:rFonts w:hint="eastAsia"/>
          <w:highlight w:val="none"/>
        </w:rPr>
        <w:t>7、评标方法和标准</w:t>
      </w:r>
    </w:p>
    <w:p>
      <w:pPr>
        <w:pStyle w:val="28"/>
        <w:spacing w:before="75" w:beforeAutospacing="0" w:after="75" w:afterAutospacing="0"/>
        <w:rPr>
          <w:highlight w:val="none"/>
        </w:rPr>
      </w:pPr>
      <w:r>
        <w:rPr>
          <w:rFonts w:hint="eastAsia"/>
          <w:highlight w:val="none"/>
        </w:rPr>
        <w:t>7.1评标方法：</w:t>
      </w:r>
      <w:r>
        <w:rPr>
          <w:highlight w:val="none"/>
        </w:rPr>
        <w:t xml:space="preserve"> 合同包1采用综合评分法。</w:t>
      </w:r>
    </w:p>
    <w:p>
      <w:pPr>
        <w:pStyle w:val="28"/>
        <w:spacing w:before="75" w:beforeAutospacing="0" w:after="75" w:afterAutospacing="0"/>
        <w:rPr>
          <w:highlight w:val="none"/>
        </w:rPr>
      </w:pPr>
      <w:r>
        <w:rPr>
          <w:rFonts w:hint="eastAsia"/>
          <w:highlight w:val="none"/>
        </w:rPr>
        <w:t>7.2评标标准</w:t>
      </w:r>
    </w:p>
    <w:p>
      <w:pPr>
        <w:pStyle w:val="28"/>
        <w:spacing w:before="75" w:beforeAutospacing="0" w:after="75" w:afterAutospacing="0"/>
        <w:rPr>
          <w:highlight w:val="none"/>
        </w:rPr>
      </w:pPr>
      <w:r>
        <w:rPr>
          <w:rFonts w:hint="eastAsia"/>
          <w:highlight w:val="none"/>
        </w:rPr>
        <w:t> </w:t>
      </w:r>
    </w:p>
    <w:p>
      <w:pPr>
        <w:pStyle w:val="28"/>
        <w:shd w:val="clear" w:color="auto" w:fill="FFFFFF"/>
        <w:spacing w:before="0" w:beforeAutospacing="0" w:after="150" w:afterAutospacing="0"/>
        <w:rPr>
          <w:rFonts w:ascii="微软雅黑" w:hAnsi="微软雅黑" w:eastAsia="微软雅黑" w:cs="微软雅黑"/>
          <w:color w:val="393939"/>
          <w:sz w:val="19"/>
          <w:szCs w:val="19"/>
          <w:highlight w:val="none"/>
        </w:rPr>
      </w:pPr>
      <w:r>
        <w:rPr>
          <w:rStyle w:val="38"/>
          <w:rFonts w:hint="eastAsia"/>
          <w:color w:val="393939"/>
          <w:highlight w:val="none"/>
          <w:shd w:val="clear" w:color="auto" w:fill="FFFFFF"/>
        </w:rPr>
        <w:t>合同包采用综合评分法</w:t>
      </w:r>
      <w:r>
        <w:rPr>
          <w:rFonts w:hint="eastAsia"/>
          <w:color w:val="393939"/>
          <w:highlight w:val="none"/>
          <w:shd w:val="clear" w:color="auto" w:fill="FFFFFF"/>
        </w:rPr>
        <w:t>：</w:t>
      </w:r>
      <w:r>
        <w:rPr>
          <w:rFonts w:hint="eastAsia" w:ascii="微软雅黑" w:hAnsi="微软雅黑" w:eastAsia="微软雅黑" w:cs="微软雅黑"/>
          <w:color w:val="393939"/>
          <w:sz w:val="19"/>
          <w:szCs w:val="19"/>
          <w:highlight w:val="none"/>
          <w:shd w:val="clear" w:color="auto" w:fill="FFFFFF"/>
        </w:rPr>
        <w:t xml:space="preserve"> </w:t>
      </w:r>
    </w:p>
    <w:p>
      <w:pPr>
        <w:pStyle w:val="28"/>
        <w:ind w:firstLine="480"/>
        <w:rPr>
          <w:highlight w:val="none"/>
        </w:rPr>
      </w:pPr>
      <w:r>
        <w:rPr>
          <w:rFonts w:hint="eastAsia"/>
          <w:highlight w:val="none"/>
        </w:rPr>
        <w:t>（1）投标文件满足招标文件全部实质性要求，且按照评审因素的量化指标评审得分（即评标总得分）最高的投标人为中标候选人。</w:t>
      </w:r>
      <w:r>
        <w:rPr>
          <w:highlight w:val="none"/>
        </w:rPr>
        <w:t xml:space="preserve"> </w:t>
      </w:r>
    </w:p>
    <w:p>
      <w:pPr>
        <w:pStyle w:val="28"/>
        <w:ind w:firstLine="480"/>
        <w:rPr>
          <w:highlight w:val="none"/>
        </w:rPr>
      </w:pPr>
      <w:r>
        <w:rPr>
          <w:rFonts w:hint="eastAsia"/>
          <w:highlight w:val="none"/>
        </w:rPr>
        <w:t>（2）每个投标人的评标总得分</w:t>
      </w:r>
      <w:r>
        <w:rPr>
          <w:rFonts w:ascii="Calibri" w:hAnsi="Calibri" w:cs="Calibri"/>
          <w:highlight w:val="none"/>
        </w:rPr>
        <w:t>FA</w:t>
      </w:r>
      <w:r>
        <w:rPr>
          <w:rFonts w:hint="eastAsia"/>
          <w:highlight w:val="none"/>
        </w:rPr>
        <w:t>＝</w:t>
      </w:r>
      <w:r>
        <w:rPr>
          <w:rFonts w:ascii="Calibri" w:hAnsi="Calibri" w:cs="Calibri"/>
          <w:highlight w:val="none"/>
        </w:rPr>
        <w:t>F1</w:t>
      </w:r>
      <w:r>
        <w:rPr>
          <w:rFonts w:hint="eastAsia"/>
          <w:highlight w:val="none"/>
        </w:rPr>
        <w:t>×</w:t>
      </w:r>
      <w:r>
        <w:rPr>
          <w:rFonts w:ascii="Calibri" w:hAnsi="Calibri" w:cs="Calibri"/>
          <w:highlight w:val="none"/>
        </w:rPr>
        <w:t>A1</w:t>
      </w:r>
      <w:r>
        <w:rPr>
          <w:rFonts w:hint="eastAsia"/>
          <w:highlight w:val="none"/>
        </w:rPr>
        <w:t>＋</w:t>
      </w:r>
      <w:r>
        <w:rPr>
          <w:rFonts w:ascii="Calibri" w:hAnsi="Calibri" w:cs="Calibri"/>
          <w:highlight w:val="none"/>
        </w:rPr>
        <w:t>F2</w:t>
      </w:r>
      <w:r>
        <w:rPr>
          <w:rFonts w:hint="eastAsia"/>
          <w:highlight w:val="none"/>
        </w:rPr>
        <w:t>×</w:t>
      </w:r>
      <w:r>
        <w:rPr>
          <w:rFonts w:ascii="Calibri" w:hAnsi="Calibri" w:cs="Calibri"/>
          <w:highlight w:val="none"/>
        </w:rPr>
        <w:t>A2</w:t>
      </w:r>
      <w:r>
        <w:rPr>
          <w:rFonts w:hint="eastAsia"/>
          <w:highlight w:val="none"/>
        </w:rPr>
        <w:t>＋</w:t>
      </w:r>
      <w:r>
        <w:rPr>
          <w:rFonts w:ascii="Calibri" w:hAnsi="Calibri" w:cs="Calibri"/>
          <w:highlight w:val="none"/>
        </w:rPr>
        <w:t>F3</w:t>
      </w:r>
      <w:r>
        <w:rPr>
          <w:rFonts w:hint="eastAsia"/>
          <w:highlight w:val="none"/>
        </w:rPr>
        <w:t>×</w:t>
      </w:r>
      <w:r>
        <w:rPr>
          <w:rFonts w:ascii="Calibri" w:hAnsi="Calibri" w:cs="Calibri"/>
          <w:highlight w:val="none"/>
        </w:rPr>
        <w:t>A3</w:t>
      </w:r>
      <w:r>
        <w:rPr>
          <w:rFonts w:hint="eastAsia"/>
          <w:highlight w:val="none"/>
        </w:rPr>
        <w:t>＋</w:t>
      </w:r>
      <w:r>
        <w:rPr>
          <w:rFonts w:ascii="Calibri" w:hAnsi="Calibri" w:cs="Calibri"/>
          <w:highlight w:val="none"/>
        </w:rPr>
        <w:t>F4</w:t>
      </w:r>
      <w:r>
        <w:rPr>
          <w:rFonts w:hint="eastAsia"/>
          <w:highlight w:val="none"/>
        </w:rPr>
        <w:t>×</w:t>
      </w:r>
      <w:r>
        <w:rPr>
          <w:rFonts w:ascii="Calibri" w:hAnsi="Calibri" w:cs="Calibri"/>
          <w:highlight w:val="none"/>
        </w:rPr>
        <w:t>A4</w:t>
      </w:r>
      <w:r>
        <w:rPr>
          <w:rFonts w:hint="eastAsia"/>
          <w:highlight w:val="none"/>
        </w:rPr>
        <w:t>（若有），其中：</w:t>
      </w:r>
      <w:r>
        <w:rPr>
          <w:rFonts w:ascii="Calibri" w:hAnsi="Calibri" w:cs="Calibri"/>
          <w:highlight w:val="none"/>
        </w:rPr>
        <w:t>F1</w:t>
      </w:r>
      <w:r>
        <w:rPr>
          <w:rFonts w:hint="eastAsia"/>
          <w:highlight w:val="none"/>
        </w:rPr>
        <w:t>指价格项评审因素得分、</w:t>
      </w:r>
      <w:r>
        <w:rPr>
          <w:rFonts w:ascii="Calibri" w:hAnsi="Calibri" w:cs="Calibri"/>
          <w:highlight w:val="none"/>
        </w:rPr>
        <w:t>F2</w:t>
      </w:r>
      <w:r>
        <w:rPr>
          <w:rFonts w:hint="eastAsia"/>
          <w:highlight w:val="none"/>
        </w:rPr>
        <w:t>指技术项评审因素得分、</w:t>
      </w:r>
      <w:r>
        <w:rPr>
          <w:rFonts w:ascii="Calibri" w:hAnsi="Calibri" w:cs="Calibri"/>
          <w:highlight w:val="none"/>
        </w:rPr>
        <w:t>F3</w:t>
      </w:r>
      <w:r>
        <w:rPr>
          <w:rFonts w:hint="eastAsia"/>
          <w:highlight w:val="none"/>
        </w:rPr>
        <w:t>指商务项评审因素得分，</w:t>
      </w:r>
      <w:r>
        <w:rPr>
          <w:rFonts w:ascii="Calibri" w:hAnsi="Calibri" w:cs="Calibri"/>
          <w:highlight w:val="none"/>
        </w:rPr>
        <w:t>A1</w:t>
      </w:r>
      <w:r>
        <w:rPr>
          <w:rFonts w:hint="eastAsia"/>
          <w:highlight w:val="none"/>
        </w:rPr>
        <w:t>指价格项评审因素所占的权重、</w:t>
      </w:r>
      <w:r>
        <w:rPr>
          <w:rFonts w:ascii="Calibri" w:hAnsi="Calibri" w:cs="Calibri"/>
          <w:highlight w:val="none"/>
        </w:rPr>
        <w:t>A2</w:t>
      </w:r>
      <w:r>
        <w:rPr>
          <w:rFonts w:hint="eastAsia"/>
          <w:highlight w:val="none"/>
        </w:rPr>
        <w:t>指技术项评审因素所占的权重、</w:t>
      </w:r>
      <w:r>
        <w:rPr>
          <w:rFonts w:ascii="Calibri" w:hAnsi="Calibri" w:cs="Calibri"/>
          <w:highlight w:val="none"/>
        </w:rPr>
        <w:t>A3</w:t>
      </w:r>
      <w:r>
        <w:rPr>
          <w:rFonts w:hint="eastAsia"/>
          <w:highlight w:val="none"/>
        </w:rPr>
        <w:t>指商务项评审因素所占的权重，</w:t>
      </w:r>
      <w:r>
        <w:rPr>
          <w:rFonts w:ascii="Calibri" w:hAnsi="Calibri" w:cs="Calibri"/>
          <w:highlight w:val="none"/>
        </w:rPr>
        <w:t>A1+A2+A3=1</w:t>
      </w:r>
      <w:r>
        <w:rPr>
          <w:rFonts w:hint="eastAsia"/>
          <w:highlight w:val="none"/>
        </w:rPr>
        <w:t>、</w:t>
      </w:r>
      <w:r>
        <w:rPr>
          <w:rFonts w:ascii="Calibri" w:hAnsi="Calibri" w:cs="Calibri"/>
          <w:highlight w:val="none"/>
        </w:rPr>
        <w:t>F1</w:t>
      </w:r>
      <w:r>
        <w:rPr>
          <w:rFonts w:hint="eastAsia"/>
          <w:highlight w:val="none"/>
        </w:rPr>
        <w:t>×</w:t>
      </w:r>
      <w:r>
        <w:rPr>
          <w:rFonts w:ascii="Calibri" w:hAnsi="Calibri" w:cs="Calibri"/>
          <w:highlight w:val="none"/>
        </w:rPr>
        <w:t>A1</w:t>
      </w:r>
      <w:r>
        <w:rPr>
          <w:rFonts w:hint="eastAsia"/>
          <w:highlight w:val="none"/>
        </w:rPr>
        <w:t>＋</w:t>
      </w:r>
      <w:r>
        <w:rPr>
          <w:rFonts w:ascii="Calibri" w:hAnsi="Calibri" w:cs="Calibri"/>
          <w:highlight w:val="none"/>
        </w:rPr>
        <w:t>F2</w:t>
      </w:r>
      <w:r>
        <w:rPr>
          <w:rFonts w:hint="eastAsia"/>
          <w:highlight w:val="none"/>
        </w:rPr>
        <w:t>×</w:t>
      </w:r>
      <w:r>
        <w:rPr>
          <w:rFonts w:ascii="Calibri" w:hAnsi="Calibri" w:cs="Calibri"/>
          <w:highlight w:val="none"/>
        </w:rPr>
        <w:t>A2</w:t>
      </w:r>
      <w:r>
        <w:rPr>
          <w:rFonts w:hint="eastAsia"/>
          <w:highlight w:val="none"/>
        </w:rPr>
        <w:t>＋</w:t>
      </w:r>
      <w:r>
        <w:rPr>
          <w:rFonts w:ascii="Calibri" w:hAnsi="Calibri" w:cs="Calibri"/>
          <w:highlight w:val="none"/>
        </w:rPr>
        <w:t>F3</w:t>
      </w:r>
      <w:r>
        <w:rPr>
          <w:rFonts w:hint="eastAsia"/>
          <w:highlight w:val="none"/>
        </w:rPr>
        <w:t>×</w:t>
      </w:r>
      <w:r>
        <w:rPr>
          <w:rFonts w:ascii="Calibri" w:hAnsi="Calibri" w:cs="Calibri"/>
          <w:highlight w:val="none"/>
        </w:rPr>
        <w:t>A3=100</w:t>
      </w:r>
      <w:r>
        <w:rPr>
          <w:rFonts w:hint="eastAsia"/>
          <w:highlight w:val="none"/>
        </w:rPr>
        <w:t>分（满分时），</w:t>
      </w:r>
      <w:r>
        <w:rPr>
          <w:rFonts w:ascii="Calibri" w:hAnsi="Calibri" w:cs="Calibri"/>
          <w:highlight w:val="none"/>
        </w:rPr>
        <w:t>F4</w:t>
      </w:r>
      <w:r>
        <w:rPr>
          <w:rFonts w:hint="eastAsia"/>
          <w:highlight w:val="none"/>
        </w:rPr>
        <w:t>×</w:t>
      </w:r>
      <w:r>
        <w:rPr>
          <w:rFonts w:ascii="Calibri" w:hAnsi="Calibri" w:cs="Calibri"/>
          <w:highlight w:val="none"/>
        </w:rPr>
        <w:t>A4</w:t>
      </w:r>
      <w:r>
        <w:rPr>
          <w:rFonts w:hint="eastAsia"/>
          <w:highlight w:val="none"/>
        </w:rPr>
        <w:t>为加分项（即优先类节能产品、环境标志产品在采购活动中可享有的加分优惠）。</w:t>
      </w:r>
      <w:r>
        <w:rPr>
          <w:highlight w:val="none"/>
        </w:rPr>
        <w:t xml:space="preserve"> </w:t>
      </w:r>
    </w:p>
    <w:p>
      <w:pPr>
        <w:pStyle w:val="28"/>
        <w:ind w:firstLine="480"/>
        <w:rPr>
          <w:highlight w:val="none"/>
        </w:rPr>
      </w:pPr>
      <w:r>
        <w:rPr>
          <w:rFonts w:hint="eastAsia"/>
          <w:highlight w:val="none"/>
        </w:rPr>
        <w:t>（3）各项评审因素的设置如下：</w:t>
      </w:r>
      <w:r>
        <w:rPr>
          <w:highlight w:val="none"/>
        </w:rPr>
        <w:t xml:space="preserve"> </w:t>
      </w:r>
    </w:p>
    <w:p>
      <w:pPr>
        <w:pStyle w:val="28"/>
        <w:ind w:firstLine="480"/>
        <w:rPr>
          <w:highlight w:val="none"/>
        </w:rPr>
      </w:pPr>
      <w:r>
        <w:rPr>
          <w:rFonts w:hint="eastAsia"/>
          <w:highlight w:val="none"/>
        </w:rPr>
        <w:t>①价格项（</w:t>
      </w:r>
      <w:r>
        <w:rPr>
          <w:rFonts w:ascii="Calibri" w:hAnsi="Calibri" w:cs="Calibri"/>
          <w:highlight w:val="none"/>
        </w:rPr>
        <w:t>F1</w:t>
      </w:r>
      <w:r>
        <w:rPr>
          <w:rFonts w:hint="eastAsia"/>
          <w:highlight w:val="none"/>
        </w:rPr>
        <w:t>×</w:t>
      </w:r>
      <w:r>
        <w:rPr>
          <w:rFonts w:ascii="Calibri" w:hAnsi="Calibri" w:cs="Calibri"/>
          <w:highlight w:val="none"/>
        </w:rPr>
        <w:t>A1</w:t>
      </w:r>
      <w:r>
        <w:rPr>
          <w:rFonts w:hint="eastAsia"/>
          <w:highlight w:val="none"/>
        </w:rPr>
        <w:t>）满分</w:t>
      </w:r>
      <w:r>
        <w:rPr>
          <w:rFonts w:hint="eastAsia"/>
          <w:highlight w:val="none"/>
        </w:rPr>
        <w:t>为</w:t>
      </w:r>
      <w:r>
        <w:rPr>
          <w:rFonts w:hint="eastAsia"/>
          <w:color w:val="auto"/>
          <w:highlight w:val="none"/>
          <w:u w:val="single"/>
          <w:lang w:val="en-US" w:eastAsia="zh-CN"/>
        </w:rPr>
        <w:t>35</w:t>
      </w:r>
      <w:r>
        <w:rPr>
          <w:rFonts w:hint="eastAsia"/>
          <w:highlight w:val="none"/>
        </w:rPr>
        <w:t>分。</w:t>
      </w:r>
    </w:p>
    <w:p>
      <w:pPr>
        <w:pStyle w:val="28"/>
        <w:ind w:firstLine="480"/>
        <w:rPr>
          <w:highlight w:val="none"/>
        </w:rPr>
      </w:pPr>
      <w:r>
        <w:rPr>
          <w:rFonts w:hint="eastAsia"/>
          <w:highlight w:val="none"/>
        </w:rPr>
        <w:t>a.价格分采用价格分采用低价优先法计算，即满足招标文件要求且投标价格最低的投标报价为评标基准价，其价格分为满分。其他投标人的价格分统一按照下列公式计算：投标报价得分</w:t>
      </w:r>
      <w:r>
        <w:rPr>
          <w:rFonts w:ascii="Calibri" w:hAnsi="Calibri" w:cs="Calibri"/>
          <w:highlight w:val="none"/>
        </w:rPr>
        <w:t>=</w:t>
      </w:r>
      <w:r>
        <w:rPr>
          <w:rFonts w:hint="eastAsia"/>
          <w:highlight w:val="none"/>
        </w:rPr>
        <w:t>（评标基准价／投标报价）×</w:t>
      </w:r>
      <w:r>
        <w:rPr>
          <w:rFonts w:ascii="Calibri" w:hAnsi="Calibri" w:cs="Calibri"/>
          <w:highlight w:val="none"/>
        </w:rPr>
        <w:t>100</w:t>
      </w:r>
      <w:r>
        <w:rPr>
          <w:rFonts w:hint="eastAsia"/>
          <w:highlight w:val="none"/>
        </w:rPr>
        <w:t>。因落实政府采购政策需进行价格扣除的，以扣除后的价格计算评标基准价和投标报价。</w:t>
      </w:r>
      <w:r>
        <w:rPr>
          <w:highlight w:val="none"/>
        </w:rPr>
        <w:t xml:space="preserve"> </w:t>
      </w:r>
    </w:p>
    <w:p>
      <w:pPr>
        <w:pStyle w:val="28"/>
        <w:ind w:firstLine="480"/>
        <w:rPr>
          <w:highlight w:val="none"/>
        </w:rPr>
      </w:pPr>
      <w:r>
        <w:rPr>
          <w:rFonts w:ascii="Calibri" w:hAnsi="Calibri" w:cs="Calibri"/>
          <w:highlight w:val="none"/>
        </w:rPr>
        <w:t>b.</w:t>
      </w:r>
      <w:r>
        <w:rPr>
          <w:rFonts w:hint="eastAsia"/>
          <w:highlight w:val="none"/>
        </w:rPr>
        <w:t>价格扣除的规则如下：</w:t>
      </w:r>
      <w:r>
        <w:rPr>
          <w:rStyle w:val="38"/>
          <w:highlight w:val="none"/>
        </w:rPr>
        <w:t>无</w:t>
      </w:r>
    </w:p>
    <w:p>
      <w:pPr>
        <w:pStyle w:val="28"/>
        <w:ind w:left="840"/>
        <w:rPr>
          <w:highlight w:val="none"/>
        </w:rPr>
      </w:pPr>
    </w:p>
    <w:p>
      <w:pPr>
        <w:pStyle w:val="28"/>
        <w:ind w:firstLine="480"/>
        <w:rPr>
          <w:highlight w:val="none"/>
        </w:rPr>
      </w:pPr>
      <w:r>
        <w:rPr>
          <w:rFonts w:hint="eastAsia"/>
          <w:highlight w:val="none"/>
        </w:rPr>
        <w:t>②技术项（</w:t>
      </w:r>
      <w:r>
        <w:rPr>
          <w:rFonts w:ascii="Calibri" w:hAnsi="Calibri" w:cs="Calibri"/>
          <w:highlight w:val="none"/>
        </w:rPr>
        <w:t>F2</w:t>
      </w:r>
      <w:r>
        <w:rPr>
          <w:rFonts w:hint="eastAsia"/>
          <w:highlight w:val="none"/>
        </w:rPr>
        <w:t>×</w:t>
      </w:r>
      <w:r>
        <w:rPr>
          <w:rFonts w:ascii="Calibri" w:hAnsi="Calibri" w:cs="Calibri"/>
          <w:highlight w:val="none"/>
        </w:rPr>
        <w:t>A2</w:t>
      </w:r>
      <w:r>
        <w:rPr>
          <w:rFonts w:hint="eastAsia"/>
          <w:highlight w:val="none"/>
        </w:rPr>
        <w:t>）满分为</w:t>
      </w:r>
      <w:r>
        <w:rPr>
          <w:rFonts w:hint="eastAsia"/>
          <w:highlight w:val="none"/>
          <w:u w:val="single"/>
          <w:lang w:val="en-US" w:eastAsia="zh-CN"/>
        </w:rPr>
        <w:t>50</w:t>
      </w:r>
      <w:r>
        <w:rPr>
          <w:rFonts w:hint="eastAsia"/>
          <w:highlight w:val="none"/>
        </w:rPr>
        <w:t>分。</w:t>
      </w:r>
    </w:p>
    <w:tbl>
      <w:tblPr>
        <w:tblStyle w:val="33"/>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94"/>
        <w:gridCol w:w="517"/>
        <w:gridCol w:w="6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2294" w:type="dxa"/>
            <w:vAlign w:val="center"/>
          </w:tcPr>
          <w:p>
            <w:pPr>
              <w:widowControl/>
              <w:jc w:val="left"/>
              <w:rPr>
                <w:highlight w:val="none"/>
              </w:rPr>
            </w:pPr>
            <w:r>
              <w:rPr>
                <w:rFonts w:ascii="宋体" w:hAnsi="宋体" w:cs="宋体"/>
                <w:kern w:val="0"/>
                <w:sz w:val="24"/>
                <w:highlight w:val="none"/>
              </w:rPr>
              <w:t>评标项目</w:t>
            </w:r>
          </w:p>
        </w:tc>
        <w:tc>
          <w:tcPr>
            <w:tcW w:w="517" w:type="dxa"/>
            <w:vAlign w:val="center"/>
          </w:tcPr>
          <w:p>
            <w:pPr>
              <w:widowControl/>
              <w:jc w:val="left"/>
              <w:rPr>
                <w:highlight w:val="none"/>
              </w:rPr>
            </w:pPr>
            <w:r>
              <w:rPr>
                <w:rFonts w:ascii="宋体" w:hAnsi="宋体" w:cs="宋体"/>
                <w:kern w:val="0"/>
                <w:sz w:val="24"/>
                <w:highlight w:val="none"/>
              </w:rPr>
              <w:t>评标分值</w:t>
            </w:r>
          </w:p>
        </w:tc>
        <w:tc>
          <w:tcPr>
            <w:tcW w:w="6208" w:type="dxa"/>
            <w:vAlign w:val="center"/>
          </w:tcPr>
          <w:p>
            <w:pPr>
              <w:widowControl/>
              <w:jc w:val="left"/>
              <w:rPr>
                <w:highlight w:val="none"/>
              </w:rPr>
            </w:pPr>
            <w:r>
              <w:rPr>
                <w:rFonts w:ascii="宋体" w:hAnsi="宋体" w:cs="宋体"/>
                <w:kern w:val="0"/>
                <w:sz w:val="24"/>
                <w:highlight w:val="none"/>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94" w:type="dxa"/>
            <w:vAlign w:val="center"/>
          </w:tcPr>
          <w:p>
            <w:pPr>
              <w:widowControl/>
              <w:jc w:val="left"/>
              <w:rPr>
                <w:rFonts w:ascii="宋体" w:hAnsi="宋体" w:cs="宋体"/>
                <w:sz w:val="24"/>
                <w:highlight w:val="none"/>
              </w:rPr>
            </w:pPr>
            <w:r>
              <w:rPr>
                <w:rFonts w:hint="eastAsia" w:ascii="宋体" w:hAnsi="宋体" w:cs="宋体"/>
                <w:sz w:val="24"/>
                <w:highlight w:val="none"/>
              </w:rPr>
              <w:t>T1.</w:t>
            </w:r>
            <w:r>
              <w:rPr>
                <w:rFonts w:hint="eastAsia" w:asciiTheme="minorEastAsia" w:hAnsiTheme="minorEastAsia"/>
                <w:color w:val="000000"/>
                <w:sz w:val="24"/>
                <w:highlight w:val="none"/>
              </w:rPr>
              <w:t xml:space="preserve"> 投标产品性能</w:t>
            </w:r>
          </w:p>
        </w:tc>
        <w:tc>
          <w:tcPr>
            <w:tcW w:w="517" w:type="dxa"/>
            <w:vAlign w:val="center"/>
          </w:tcPr>
          <w:p>
            <w:pPr>
              <w:widowControl/>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32</w:t>
            </w:r>
          </w:p>
        </w:tc>
        <w:tc>
          <w:tcPr>
            <w:tcW w:w="6208" w:type="dxa"/>
            <w:vAlign w:val="center"/>
          </w:tcPr>
          <w:p>
            <w:pPr>
              <w:ind w:firstLine="480" w:firstLineChars="200"/>
              <w:rPr>
                <w:rFonts w:asciiTheme="minorEastAsia" w:hAnsiTheme="minorEastAsia"/>
                <w:sz w:val="24"/>
                <w:highlight w:val="none"/>
              </w:rPr>
            </w:pPr>
            <w:r>
              <w:rPr>
                <w:rFonts w:ascii="宋体" w:hAnsi="宋体" w:cs="宋体"/>
                <w:kern w:val="0"/>
                <w:sz w:val="24"/>
                <w:highlight w:val="none"/>
              </w:rPr>
              <w:t>投标人必须根据招标文件参数要求在偏离表中逐项填列，如实说明正、负偏离情况，否则，有可能做出不利于投标人的评判。完全满足招标文件要求的得</w:t>
            </w:r>
            <w:r>
              <w:rPr>
                <w:rFonts w:hint="eastAsia" w:ascii="宋体" w:hAnsi="宋体" w:cs="宋体"/>
                <w:kern w:val="0"/>
                <w:sz w:val="24"/>
                <w:highlight w:val="none"/>
                <w:lang w:val="en-US" w:eastAsia="zh-CN"/>
              </w:rPr>
              <w:t>32</w:t>
            </w:r>
            <w:r>
              <w:rPr>
                <w:rFonts w:ascii="宋体" w:hAnsi="宋体" w:cs="宋体"/>
                <w:kern w:val="0"/>
                <w:sz w:val="24"/>
                <w:highlight w:val="none"/>
              </w:rPr>
              <w:t>分；带“▲”号技术参数为重要技术指标，每项扣</w:t>
            </w:r>
            <w:r>
              <w:rPr>
                <w:rFonts w:hint="eastAsia" w:ascii="宋体" w:hAnsi="宋体" w:cs="宋体"/>
                <w:kern w:val="0"/>
                <w:sz w:val="24"/>
                <w:highlight w:val="none"/>
              </w:rPr>
              <w:t>2</w:t>
            </w:r>
            <w:r>
              <w:rPr>
                <w:rFonts w:ascii="宋体" w:hAnsi="宋体" w:cs="宋体"/>
                <w:kern w:val="0"/>
                <w:sz w:val="24"/>
                <w:highlight w:val="none"/>
              </w:rPr>
              <w:t>分，其余参数每负偏离一项扣</w:t>
            </w:r>
            <w:r>
              <w:rPr>
                <w:rFonts w:hint="eastAsia" w:ascii="宋体" w:hAnsi="宋体" w:cs="宋体"/>
                <w:kern w:val="0"/>
                <w:sz w:val="24"/>
                <w:highlight w:val="none"/>
              </w:rPr>
              <w:t>1</w:t>
            </w:r>
            <w:r>
              <w:rPr>
                <w:rFonts w:ascii="宋体" w:hAnsi="宋体" w:cs="宋体"/>
                <w:kern w:val="0"/>
                <w:sz w:val="24"/>
                <w:highlight w:val="none"/>
              </w:rPr>
              <w:t>分，扣完为止。 供应商响应与证明材料不一致的，以不利于供应商的情况进行评审。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94" w:type="dxa"/>
            <w:vAlign w:val="center"/>
          </w:tcPr>
          <w:p>
            <w:pPr>
              <w:widowControl/>
              <w:jc w:val="left"/>
              <w:rPr>
                <w:rFonts w:ascii="宋体" w:hAnsi="宋体" w:cs="宋体"/>
                <w:sz w:val="24"/>
                <w:highlight w:val="none"/>
              </w:rPr>
            </w:pPr>
            <w:r>
              <w:rPr>
                <w:rFonts w:hint="eastAsia" w:ascii="宋体" w:hAnsi="宋体" w:cs="宋体"/>
                <w:kern w:val="0"/>
                <w:sz w:val="24"/>
                <w:highlight w:val="none"/>
              </w:rPr>
              <w:t>T2.</w:t>
            </w:r>
            <w:r>
              <w:rPr>
                <w:rFonts w:hint="eastAsia" w:asciiTheme="minorEastAsia" w:hAnsiTheme="minorEastAsia"/>
                <w:sz w:val="24"/>
                <w:highlight w:val="none"/>
              </w:rPr>
              <w:t xml:space="preserve"> 潜水电泵厂家的技术实施能力</w:t>
            </w:r>
          </w:p>
        </w:tc>
        <w:tc>
          <w:tcPr>
            <w:tcW w:w="517" w:type="dxa"/>
            <w:vAlign w:val="center"/>
          </w:tcPr>
          <w:p>
            <w:pPr>
              <w:widowControl/>
              <w:jc w:val="center"/>
              <w:rPr>
                <w:rFonts w:ascii="宋体" w:hAnsi="宋体" w:cs="宋体"/>
                <w:sz w:val="24"/>
                <w:highlight w:val="none"/>
              </w:rPr>
            </w:pPr>
            <w:r>
              <w:rPr>
                <w:rFonts w:hint="eastAsia" w:ascii="宋体" w:hAnsi="宋体" w:cs="宋体"/>
                <w:kern w:val="0"/>
                <w:sz w:val="24"/>
                <w:highlight w:val="none"/>
              </w:rPr>
              <w:t>3</w:t>
            </w:r>
          </w:p>
        </w:tc>
        <w:tc>
          <w:tcPr>
            <w:tcW w:w="6208" w:type="dxa"/>
            <w:vAlign w:val="center"/>
          </w:tcPr>
          <w:p>
            <w:pPr>
              <w:ind w:firstLine="480" w:firstLineChars="200"/>
              <w:rPr>
                <w:rFonts w:asciiTheme="minorEastAsia" w:hAnsiTheme="minorEastAsia"/>
                <w:sz w:val="24"/>
                <w:highlight w:val="none"/>
              </w:rPr>
            </w:pPr>
            <w:r>
              <w:rPr>
                <w:rFonts w:hint="eastAsia" w:asciiTheme="minorEastAsia" w:hAnsiTheme="minorEastAsia"/>
                <w:sz w:val="24"/>
                <w:highlight w:val="none"/>
              </w:rPr>
              <w:t>投标人所投的用于本项目的潜水电泵，具有中国节能产品认证证书（需提供证书复印件并加盖公章），得1分；</w:t>
            </w:r>
          </w:p>
          <w:p>
            <w:pPr>
              <w:ind w:firstLine="480" w:firstLineChars="200"/>
              <w:rPr>
                <w:rFonts w:asciiTheme="minorEastAsia" w:hAnsiTheme="minorEastAsia"/>
                <w:sz w:val="24"/>
                <w:highlight w:val="none"/>
              </w:rPr>
            </w:pPr>
            <w:r>
              <w:rPr>
                <w:rFonts w:hint="eastAsia" w:asciiTheme="minorEastAsia" w:hAnsiTheme="minorEastAsia"/>
                <w:sz w:val="24"/>
                <w:highlight w:val="none"/>
              </w:rPr>
              <w:t>投标人所投的用于本项目的潜水电泵，具有中国环境标志产品认证证书（需提供证书复印件并加盖公章），得1分；</w:t>
            </w:r>
          </w:p>
          <w:p>
            <w:pPr>
              <w:ind w:firstLine="480"/>
              <w:rPr>
                <w:rFonts w:asciiTheme="minorEastAsia" w:hAnsiTheme="minorEastAsia"/>
                <w:sz w:val="24"/>
                <w:highlight w:val="none"/>
              </w:rPr>
            </w:pPr>
            <w:r>
              <w:rPr>
                <w:rFonts w:hint="eastAsia" w:asciiTheme="minorEastAsia" w:hAnsiTheme="minorEastAsia"/>
                <w:sz w:val="24"/>
                <w:highlight w:val="none"/>
              </w:rPr>
              <w:t>投标人所投的用于本项目的潜水电泵制造厂家获得全国工业产品生产许可证（注：许可证须包含“泵”） （需提供证书复印件并加盖公章），得1分；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94" w:type="dxa"/>
            <w:vAlign w:val="center"/>
          </w:tcPr>
          <w:p>
            <w:pPr>
              <w:widowControl/>
              <w:jc w:val="left"/>
              <w:rPr>
                <w:rFonts w:ascii="宋体" w:hAnsi="宋体" w:cs="宋体"/>
                <w:kern w:val="0"/>
                <w:sz w:val="24"/>
                <w:highlight w:val="none"/>
              </w:rPr>
            </w:pPr>
            <w:r>
              <w:rPr>
                <w:rFonts w:hint="eastAsia" w:ascii="宋体" w:hAnsi="宋体" w:cs="宋体"/>
                <w:kern w:val="0"/>
                <w:sz w:val="24"/>
                <w:highlight w:val="none"/>
              </w:rPr>
              <w:t>T3.</w:t>
            </w:r>
            <w:r>
              <w:rPr>
                <w:rFonts w:hint="eastAsia" w:asciiTheme="minorEastAsia" w:hAnsiTheme="minorEastAsia"/>
                <w:sz w:val="24"/>
                <w:highlight w:val="none"/>
              </w:rPr>
              <w:t xml:space="preserve"> 双吸离心泵厂家的技术实施能力</w:t>
            </w:r>
          </w:p>
        </w:tc>
        <w:tc>
          <w:tcPr>
            <w:tcW w:w="517"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6208" w:type="dxa"/>
            <w:vAlign w:val="center"/>
          </w:tcPr>
          <w:p>
            <w:pPr>
              <w:ind w:firstLine="480" w:firstLineChars="200"/>
              <w:rPr>
                <w:rFonts w:asciiTheme="minorEastAsia" w:hAnsiTheme="minorEastAsia"/>
                <w:sz w:val="24"/>
                <w:highlight w:val="none"/>
              </w:rPr>
            </w:pPr>
            <w:r>
              <w:rPr>
                <w:rFonts w:hint="eastAsia" w:asciiTheme="minorEastAsia" w:hAnsiTheme="minorEastAsia"/>
                <w:sz w:val="24"/>
                <w:highlight w:val="none"/>
              </w:rPr>
              <w:t>投标人所投的用于本项目的双吸离心泵，具有中国节能产品认证证书（需提供证书复印件并加盖公章），得1分；投标人所投的用于本项目的双吸离心泵制造厂家获CTEAS售后服务体系完善程度认证，7星级（卓越）售后服务体系（需提供证书复印件并加盖制造厂家公章），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94" w:type="dxa"/>
            <w:vAlign w:val="center"/>
          </w:tcPr>
          <w:p>
            <w:pPr>
              <w:widowControl/>
              <w:jc w:val="left"/>
              <w:rPr>
                <w:rFonts w:ascii="宋体" w:hAnsi="宋体" w:cs="宋体"/>
                <w:kern w:val="0"/>
                <w:sz w:val="24"/>
                <w:highlight w:val="none"/>
              </w:rPr>
            </w:pPr>
            <w:r>
              <w:rPr>
                <w:rFonts w:hint="eastAsia" w:ascii="宋体" w:hAnsi="宋体" w:cs="宋体"/>
                <w:kern w:val="0"/>
                <w:sz w:val="24"/>
                <w:highlight w:val="none"/>
              </w:rPr>
              <w:t>T4.</w:t>
            </w:r>
            <w:r>
              <w:rPr>
                <w:rFonts w:hint="eastAsia" w:asciiTheme="minorEastAsia" w:hAnsiTheme="minorEastAsia"/>
                <w:sz w:val="24"/>
                <w:highlight w:val="none"/>
              </w:rPr>
              <w:t xml:space="preserve"> 在线分析仪</w:t>
            </w:r>
          </w:p>
        </w:tc>
        <w:tc>
          <w:tcPr>
            <w:tcW w:w="517"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6208" w:type="dxa"/>
            <w:vAlign w:val="center"/>
          </w:tcPr>
          <w:p>
            <w:pPr>
              <w:ind w:firstLine="480" w:firstLineChars="200"/>
              <w:rPr>
                <w:rFonts w:asciiTheme="minorEastAsia" w:hAnsiTheme="minorEastAsia"/>
                <w:sz w:val="24"/>
                <w:highlight w:val="none"/>
              </w:rPr>
            </w:pPr>
            <w:r>
              <w:rPr>
                <w:rFonts w:hint="eastAsia" w:asciiTheme="minorEastAsia" w:hAnsiTheme="minorEastAsia"/>
                <w:sz w:val="24"/>
                <w:highlight w:val="none"/>
              </w:rPr>
              <w:t>投标供应商具有第三方计量检测机构出具的“浊度分析仪”和“二氧化氯在线分析仪”的《校准证书》 ，每份得1分，满分2分。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94" w:type="dxa"/>
            <w:vAlign w:val="center"/>
          </w:tcPr>
          <w:p>
            <w:pPr>
              <w:widowControl/>
              <w:jc w:val="left"/>
              <w:rPr>
                <w:rFonts w:ascii="宋体" w:hAnsi="宋体" w:cs="宋体"/>
                <w:kern w:val="0"/>
                <w:sz w:val="24"/>
                <w:highlight w:val="none"/>
              </w:rPr>
            </w:pPr>
            <w:r>
              <w:rPr>
                <w:rFonts w:hint="eastAsia" w:ascii="宋体" w:hAnsi="宋体" w:cs="宋体"/>
                <w:kern w:val="0"/>
                <w:sz w:val="24"/>
                <w:highlight w:val="none"/>
              </w:rPr>
              <w:t>T5.</w:t>
            </w:r>
            <w:r>
              <w:rPr>
                <w:rFonts w:hint="eastAsia" w:asciiTheme="minorEastAsia" w:hAnsiTheme="minorEastAsia"/>
                <w:sz w:val="24"/>
                <w:highlight w:val="none"/>
              </w:rPr>
              <w:t xml:space="preserve"> 漏氯报警仪制造厂家的技术实施能力</w:t>
            </w:r>
          </w:p>
        </w:tc>
        <w:tc>
          <w:tcPr>
            <w:tcW w:w="517"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6208" w:type="dxa"/>
            <w:vAlign w:val="center"/>
          </w:tcPr>
          <w:p>
            <w:pPr>
              <w:ind w:firstLine="480" w:firstLineChars="200"/>
              <w:rPr>
                <w:rFonts w:asciiTheme="minorEastAsia" w:hAnsiTheme="minorEastAsia"/>
                <w:sz w:val="24"/>
                <w:highlight w:val="none"/>
              </w:rPr>
            </w:pPr>
            <w:r>
              <w:rPr>
                <w:rFonts w:hint="eastAsia" w:asciiTheme="minorEastAsia" w:hAnsiTheme="minorEastAsia"/>
                <w:sz w:val="24"/>
                <w:highlight w:val="none"/>
              </w:rPr>
              <w:t>投标人所投的用于本项目的漏氯报警仪，具有国家消防电子质量监督检验中心出具的检验报告（需提供检验报告复印件并加盖公章），得1分；</w:t>
            </w:r>
          </w:p>
          <w:p>
            <w:pPr>
              <w:ind w:firstLine="480" w:firstLineChars="200"/>
              <w:rPr>
                <w:rFonts w:asciiTheme="minorEastAsia" w:hAnsiTheme="minorEastAsia"/>
                <w:sz w:val="24"/>
                <w:highlight w:val="none"/>
              </w:rPr>
            </w:pPr>
            <w:r>
              <w:rPr>
                <w:rFonts w:hint="eastAsia" w:asciiTheme="minorEastAsia" w:hAnsiTheme="minorEastAsia"/>
                <w:sz w:val="24"/>
                <w:highlight w:val="none"/>
              </w:rPr>
              <w:t>投标人所投的用于本项目的漏氯报警仪，具有SIL2证书（需提供证书复印件并加盖公章），得1分；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94" w:type="dxa"/>
            <w:vAlign w:val="center"/>
          </w:tcPr>
          <w:p>
            <w:pPr>
              <w:widowControl/>
              <w:jc w:val="left"/>
              <w:rPr>
                <w:rFonts w:ascii="宋体" w:hAnsi="宋体" w:cs="宋体"/>
                <w:kern w:val="0"/>
                <w:sz w:val="24"/>
                <w:highlight w:val="none"/>
              </w:rPr>
            </w:pPr>
            <w:r>
              <w:rPr>
                <w:rFonts w:hint="eastAsia" w:ascii="宋体" w:hAnsi="宋体" w:cs="宋体"/>
                <w:kern w:val="0"/>
                <w:sz w:val="24"/>
                <w:highlight w:val="none"/>
              </w:rPr>
              <w:t>T6.</w:t>
            </w:r>
            <w:r>
              <w:rPr>
                <w:rFonts w:hint="eastAsia" w:asciiTheme="minorEastAsia" w:hAnsiTheme="minorEastAsia"/>
                <w:sz w:val="24"/>
                <w:highlight w:val="none"/>
              </w:rPr>
              <w:t xml:space="preserve"> 电磁流量计</w:t>
            </w:r>
          </w:p>
        </w:tc>
        <w:tc>
          <w:tcPr>
            <w:tcW w:w="517" w:type="dxa"/>
            <w:vAlign w:val="center"/>
          </w:tcPr>
          <w:p>
            <w:pPr>
              <w:widowControl/>
              <w:jc w:val="center"/>
              <w:rPr>
                <w:rFonts w:hint="eastAsia" w:ascii="宋体" w:hAnsi="宋体" w:eastAsia="宋体" w:cs="宋体"/>
                <w:kern w:val="0"/>
                <w:sz w:val="24"/>
                <w:highlight w:val="none"/>
                <w:lang w:eastAsia="zh-CN"/>
              </w:rPr>
            </w:pPr>
            <w:r>
              <w:rPr>
                <w:rFonts w:hint="eastAsia" w:ascii="宋体" w:hAnsi="宋体" w:cs="宋体"/>
                <w:kern w:val="0"/>
                <w:sz w:val="24"/>
                <w:highlight w:val="none"/>
                <w:lang w:val="en-US" w:eastAsia="zh-CN"/>
              </w:rPr>
              <w:t>2</w:t>
            </w:r>
          </w:p>
        </w:tc>
        <w:tc>
          <w:tcPr>
            <w:tcW w:w="6208" w:type="dxa"/>
            <w:vAlign w:val="center"/>
          </w:tcPr>
          <w:p>
            <w:pPr>
              <w:ind w:firstLine="480" w:firstLineChars="200"/>
              <w:rPr>
                <w:rFonts w:asciiTheme="minorEastAsia" w:hAnsiTheme="minorEastAsia"/>
                <w:sz w:val="24"/>
                <w:highlight w:val="none"/>
              </w:rPr>
            </w:pPr>
            <w:r>
              <w:rPr>
                <w:rFonts w:hint="eastAsia" w:asciiTheme="minorEastAsia" w:hAnsiTheme="minorEastAsia"/>
                <w:sz w:val="24"/>
                <w:highlight w:val="none"/>
              </w:rPr>
              <w:t>投标供应商具有第三方计量检测机构出具的“电磁流量计”《校准证书》的，</w:t>
            </w:r>
            <w:r>
              <w:rPr>
                <w:rFonts w:hint="eastAsia" w:asciiTheme="minorEastAsia" w:hAnsiTheme="minorEastAsia"/>
                <w:sz w:val="24"/>
                <w:highlight w:val="none"/>
                <w:lang w:eastAsia="zh-CN"/>
              </w:rPr>
              <w:t>每份</w:t>
            </w:r>
            <w:r>
              <w:rPr>
                <w:rFonts w:hint="eastAsia" w:asciiTheme="minorEastAsia" w:hAnsiTheme="minorEastAsia"/>
                <w:sz w:val="24"/>
                <w:highlight w:val="none"/>
              </w:rPr>
              <w:t>得1分</w:t>
            </w:r>
            <w:r>
              <w:rPr>
                <w:rFonts w:hint="eastAsia" w:asciiTheme="minorEastAsia" w:hAnsiTheme="minorEastAsia"/>
                <w:sz w:val="24"/>
                <w:highlight w:val="none"/>
                <w:lang w:eastAsia="zh-CN"/>
              </w:rPr>
              <w:t>，满分</w:t>
            </w:r>
            <w:r>
              <w:rPr>
                <w:rFonts w:hint="eastAsia" w:asciiTheme="minorEastAsia" w:hAnsiTheme="minorEastAsia"/>
                <w:sz w:val="24"/>
                <w:highlight w:val="none"/>
                <w:lang w:val="en-US" w:eastAsia="zh-CN"/>
              </w:rPr>
              <w:t>2分</w:t>
            </w:r>
            <w:r>
              <w:rPr>
                <w:rFonts w:hint="eastAsia" w:asciiTheme="minorEastAsia" w:hAnsiTheme="minorEastAsia"/>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94" w:type="dxa"/>
            <w:vAlign w:val="center"/>
          </w:tcPr>
          <w:p>
            <w:pPr>
              <w:widowControl/>
              <w:jc w:val="left"/>
              <w:rPr>
                <w:rFonts w:ascii="宋体" w:hAnsi="宋体" w:cs="宋体"/>
                <w:kern w:val="0"/>
                <w:sz w:val="24"/>
                <w:highlight w:val="none"/>
              </w:rPr>
            </w:pPr>
            <w:r>
              <w:rPr>
                <w:rFonts w:hint="eastAsia" w:ascii="宋体" w:hAnsi="宋体" w:cs="宋体"/>
                <w:kern w:val="0"/>
                <w:sz w:val="24"/>
                <w:highlight w:val="none"/>
              </w:rPr>
              <w:t>T7.</w:t>
            </w:r>
            <w:r>
              <w:rPr>
                <w:rFonts w:hint="eastAsia" w:asciiTheme="minorEastAsia" w:hAnsiTheme="minorEastAsia"/>
                <w:sz w:val="24"/>
                <w:highlight w:val="none"/>
              </w:rPr>
              <w:t xml:space="preserve"> 自控系统厂家的技术实施能力</w:t>
            </w:r>
          </w:p>
        </w:tc>
        <w:tc>
          <w:tcPr>
            <w:tcW w:w="517"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6208" w:type="dxa"/>
            <w:vAlign w:val="center"/>
          </w:tcPr>
          <w:p>
            <w:pPr>
              <w:ind w:firstLine="480" w:firstLineChars="200"/>
              <w:rPr>
                <w:rFonts w:asciiTheme="minorEastAsia" w:hAnsiTheme="minorEastAsia"/>
                <w:sz w:val="24"/>
                <w:highlight w:val="none"/>
              </w:rPr>
            </w:pPr>
            <w:r>
              <w:rPr>
                <w:rFonts w:hint="eastAsia" w:asciiTheme="minorEastAsia" w:hAnsiTheme="minorEastAsia"/>
                <w:sz w:val="24"/>
                <w:highlight w:val="none"/>
              </w:rPr>
              <w:t>投标人提供用于本项目的自控系统模拟组态的3D画面演示图片，得1分；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94" w:type="dxa"/>
            <w:vAlign w:val="center"/>
          </w:tcPr>
          <w:p>
            <w:pPr>
              <w:widowControl/>
              <w:jc w:val="left"/>
              <w:rPr>
                <w:rFonts w:ascii="宋体" w:hAnsi="宋体" w:cs="宋体"/>
                <w:kern w:val="0"/>
                <w:sz w:val="24"/>
                <w:highlight w:val="none"/>
              </w:rPr>
            </w:pPr>
            <w:r>
              <w:rPr>
                <w:rFonts w:hint="eastAsia" w:asciiTheme="minorEastAsia" w:hAnsiTheme="minorEastAsia"/>
                <w:sz w:val="24"/>
                <w:highlight w:val="none"/>
              </w:rPr>
              <w:t>T8.</w:t>
            </w:r>
            <w:r>
              <w:rPr>
                <w:rFonts w:hint="eastAsia" w:asciiTheme="minorEastAsia" w:hAnsiTheme="minorEastAsia"/>
                <w:szCs w:val="21"/>
                <w:highlight w:val="none"/>
              </w:rPr>
              <w:t>视频监控设备制造厂家的技术实施能力</w:t>
            </w:r>
          </w:p>
        </w:tc>
        <w:tc>
          <w:tcPr>
            <w:tcW w:w="517"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6208" w:type="dxa"/>
            <w:vAlign w:val="center"/>
          </w:tcPr>
          <w:p>
            <w:pPr>
              <w:ind w:firstLine="480" w:firstLineChars="200"/>
              <w:rPr>
                <w:rFonts w:asciiTheme="minorEastAsia" w:hAnsiTheme="minorEastAsia"/>
                <w:sz w:val="24"/>
                <w:highlight w:val="none"/>
              </w:rPr>
            </w:pPr>
            <w:r>
              <w:rPr>
                <w:rFonts w:hint="eastAsia" w:asciiTheme="minorEastAsia" w:hAnsiTheme="minorEastAsia"/>
                <w:sz w:val="24"/>
                <w:highlight w:val="none"/>
              </w:rPr>
              <w:t>视频监控设备制造厂家具有省级以上著名商标称号（需提供证书复印件，加盖公章），得1分。</w:t>
            </w:r>
          </w:p>
          <w:p>
            <w:pPr>
              <w:ind w:firstLine="480" w:firstLineChars="200"/>
              <w:rPr>
                <w:rFonts w:asciiTheme="minorEastAsia" w:hAnsiTheme="minorEastAsia"/>
                <w:sz w:val="24"/>
                <w:highlight w:val="none"/>
              </w:rPr>
            </w:pPr>
            <w:r>
              <w:rPr>
                <w:rFonts w:hint="eastAsia" w:asciiTheme="minorEastAsia" w:hAnsiTheme="minorEastAsia"/>
                <w:sz w:val="24"/>
                <w:highlight w:val="none"/>
              </w:rPr>
              <w:t>投标人提供用于本项目的高清摄像机产品，具有公安部型式检验报告（需提供证书复印件，加盖制造厂家公章），得1分；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94" w:type="dxa"/>
          </w:tcPr>
          <w:p>
            <w:pPr>
              <w:rPr>
                <w:highlight w:val="none"/>
              </w:rPr>
            </w:pPr>
            <w:r>
              <w:rPr>
                <w:rFonts w:hint="eastAsia" w:ascii="宋体" w:hAnsi="宋体" w:cs="宋体"/>
                <w:kern w:val="0"/>
                <w:sz w:val="24"/>
                <w:highlight w:val="none"/>
              </w:rPr>
              <w:t>T9.光纤产品</w:t>
            </w:r>
            <w:r>
              <w:rPr>
                <w:rFonts w:hint="eastAsia" w:asciiTheme="minorEastAsia" w:hAnsiTheme="minorEastAsia"/>
                <w:sz w:val="24"/>
                <w:highlight w:val="none"/>
              </w:rPr>
              <w:t>制造厂家的技术实施能力</w:t>
            </w:r>
          </w:p>
        </w:tc>
        <w:tc>
          <w:tcPr>
            <w:tcW w:w="517"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6208" w:type="dxa"/>
            <w:vAlign w:val="center"/>
          </w:tcPr>
          <w:p>
            <w:pPr>
              <w:ind w:firstLine="480" w:firstLineChars="200"/>
              <w:rPr>
                <w:rFonts w:asciiTheme="minorEastAsia" w:hAnsiTheme="minorEastAsia"/>
                <w:sz w:val="24"/>
                <w:highlight w:val="none"/>
              </w:rPr>
            </w:pPr>
            <w:r>
              <w:rPr>
                <w:rFonts w:hint="eastAsia" w:asciiTheme="minorEastAsia" w:hAnsiTheme="minorEastAsia"/>
                <w:sz w:val="24"/>
                <w:highlight w:val="none"/>
              </w:rPr>
              <w:t>投标人所投光纤产品: 符合GB/T 50312-2016《综合布线系统工程验收规范》，通过权威机构检测，提供招标文件发布前有效权威检测机构的检验报告复印件，全部提供得1分，否则不得分。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94" w:type="dxa"/>
          </w:tcPr>
          <w:p>
            <w:pPr>
              <w:rPr>
                <w:highlight w:val="none"/>
              </w:rPr>
            </w:pPr>
            <w:r>
              <w:rPr>
                <w:rFonts w:hint="eastAsia" w:ascii="宋体" w:hAnsi="宋体" w:cs="宋体"/>
                <w:kern w:val="0"/>
                <w:sz w:val="24"/>
                <w:highlight w:val="none"/>
              </w:rPr>
              <w:t>T10.</w:t>
            </w:r>
            <w:r>
              <w:rPr>
                <w:rFonts w:hint="eastAsia" w:asciiTheme="minorEastAsia" w:hAnsiTheme="minorEastAsia"/>
                <w:sz w:val="24"/>
                <w:highlight w:val="none"/>
              </w:rPr>
              <w:t xml:space="preserve"> 双绞线产品制造厂家的技术实施能力</w:t>
            </w:r>
          </w:p>
        </w:tc>
        <w:tc>
          <w:tcPr>
            <w:tcW w:w="517"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1</w:t>
            </w:r>
          </w:p>
        </w:tc>
        <w:tc>
          <w:tcPr>
            <w:tcW w:w="6208" w:type="dxa"/>
            <w:vAlign w:val="center"/>
          </w:tcPr>
          <w:p>
            <w:pPr>
              <w:ind w:firstLine="480" w:firstLineChars="200"/>
              <w:rPr>
                <w:rFonts w:asciiTheme="minorEastAsia" w:hAnsiTheme="minorEastAsia"/>
                <w:sz w:val="24"/>
                <w:highlight w:val="none"/>
              </w:rPr>
            </w:pPr>
            <w:r>
              <w:rPr>
                <w:rFonts w:hint="eastAsia" w:asciiTheme="minorEastAsia" w:hAnsiTheme="minorEastAsia"/>
                <w:sz w:val="24"/>
                <w:highlight w:val="none"/>
              </w:rPr>
              <w:t>投标人所投双绞线产品：提供优异的传输性能，必须符合GB/T 50312-2016《综合布线系统工程验收规范》，通过权威机构90米永久链路二连接和三连接的检测，提供招标文件发布前有效权威检测机构的检验报告复印件。全部提供得1分，否则不得分。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tblCellSpacing w:w="0" w:type="dxa"/>
        </w:trPr>
        <w:tc>
          <w:tcPr>
            <w:tcW w:w="2294" w:type="dxa"/>
          </w:tcPr>
          <w:p>
            <w:pPr>
              <w:rPr>
                <w:rFonts w:ascii="宋体" w:hAnsi="宋体" w:cs="宋体"/>
                <w:kern w:val="0"/>
                <w:sz w:val="24"/>
                <w:highlight w:val="none"/>
              </w:rPr>
            </w:pPr>
            <w:r>
              <w:rPr>
                <w:rFonts w:hint="eastAsia" w:asciiTheme="minorEastAsia" w:hAnsiTheme="minorEastAsia"/>
                <w:sz w:val="24"/>
                <w:highlight w:val="none"/>
              </w:rPr>
              <w:t>T11. 计量泵制造厂家的技术实施能力</w:t>
            </w:r>
          </w:p>
        </w:tc>
        <w:tc>
          <w:tcPr>
            <w:tcW w:w="517" w:type="dxa"/>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2</w:t>
            </w:r>
          </w:p>
        </w:tc>
        <w:tc>
          <w:tcPr>
            <w:tcW w:w="6208" w:type="dxa"/>
            <w:vAlign w:val="center"/>
          </w:tcPr>
          <w:p>
            <w:pPr>
              <w:ind w:firstLine="480" w:firstLineChars="200"/>
              <w:rPr>
                <w:rFonts w:asciiTheme="minorEastAsia" w:hAnsiTheme="minorEastAsia"/>
                <w:sz w:val="24"/>
                <w:highlight w:val="none"/>
              </w:rPr>
            </w:pPr>
            <w:r>
              <w:rPr>
                <w:rFonts w:hint="eastAsia" w:asciiTheme="minorEastAsia" w:hAnsiTheme="minorEastAsia"/>
                <w:sz w:val="24"/>
                <w:highlight w:val="none"/>
              </w:rPr>
              <w:t>制造厂家具有相关计量泵</w:t>
            </w:r>
            <w:r>
              <w:rPr>
                <w:rFonts w:hint="eastAsia" w:asciiTheme="minorEastAsia" w:hAnsiTheme="minorEastAsia"/>
                <w:sz w:val="24"/>
                <w:highlight w:val="none"/>
                <w:lang w:eastAsia="zh-CN"/>
              </w:rPr>
              <w:t>相关</w:t>
            </w:r>
            <w:r>
              <w:rPr>
                <w:rFonts w:hint="eastAsia" w:asciiTheme="minorEastAsia" w:hAnsiTheme="minorEastAsia"/>
                <w:color w:val="FF0000"/>
                <w:sz w:val="24"/>
                <w:highlight w:val="none"/>
              </w:rPr>
              <w:t>证书</w:t>
            </w:r>
            <w:r>
              <w:rPr>
                <w:rFonts w:hint="eastAsia" w:asciiTheme="minorEastAsia" w:hAnsiTheme="minorEastAsia"/>
                <w:sz w:val="24"/>
                <w:highlight w:val="none"/>
              </w:rPr>
              <w:t>（需提供证书复印件并加盖制造厂家公章），得1分；</w:t>
            </w:r>
          </w:p>
          <w:p>
            <w:pPr>
              <w:ind w:firstLine="480" w:firstLineChars="200"/>
              <w:rPr>
                <w:rFonts w:asciiTheme="minorEastAsia" w:hAnsiTheme="minorEastAsia"/>
                <w:sz w:val="24"/>
                <w:highlight w:val="none"/>
              </w:rPr>
            </w:pPr>
            <w:r>
              <w:rPr>
                <w:rFonts w:hint="eastAsia" w:asciiTheme="minorEastAsia" w:hAnsiTheme="minorEastAsia"/>
                <w:sz w:val="24"/>
                <w:highlight w:val="none"/>
              </w:rPr>
              <w:t>制造厂家通过ISO9001质量体系认证的（需提供证书复印件并加盖制造厂家公章），得1分。</w:t>
            </w:r>
          </w:p>
        </w:tc>
      </w:tr>
    </w:tbl>
    <w:p>
      <w:pPr>
        <w:pStyle w:val="28"/>
        <w:ind w:firstLine="480"/>
        <w:rPr>
          <w:highlight w:val="none"/>
        </w:rPr>
      </w:pPr>
      <w:r>
        <w:rPr>
          <w:rFonts w:hint="eastAsia"/>
          <w:highlight w:val="none"/>
        </w:rPr>
        <w:t>③商务项（</w:t>
      </w:r>
      <w:r>
        <w:rPr>
          <w:rFonts w:ascii="Calibri" w:hAnsi="Calibri" w:cs="Calibri"/>
          <w:highlight w:val="none"/>
        </w:rPr>
        <w:t>F3</w:t>
      </w:r>
      <w:r>
        <w:rPr>
          <w:rFonts w:hint="eastAsia"/>
          <w:highlight w:val="none"/>
        </w:rPr>
        <w:t>×</w:t>
      </w:r>
      <w:r>
        <w:rPr>
          <w:rFonts w:ascii="Calibri" w:hAnsi="Calibri" w:cs="Calibri"/>
          <w:highlight w:val="none"/>
        </w:rPr>
        <w:t>A3</w:t>
      </w:r>
      <w:r>
        <w:rPr>
          <w:rFonts w:hint="eastAsia"/>
          <w:highlight w:val="none"/>
        </w:rPr>
        <w:t>）满分为</w:t>
      </w:r>
      <w:r>
        <w:rPr>
          <w:rFonts w:hint="eastAsia"/>
          <w:highlight w:val="none"/>
          <w:u w:val="single"/>
        </w:rPr>
        <w:t>15</w:t>
      </w:r>
      <w:r>
        <w:rPr>
          <w:rFonts w:hint="eastAsia"/>
          <w:highlight w:val="none"/>
        </w:rPr>
        <w:t>分。</w:t>
      </w:r>
    </w:p>
    <w:p>
      <w:pPr>
        <w:pStyle w:val="28"/>
        <w:ind w:firstLine="480"/>
        <w:rPr>
          <w:highlight w:val="none"/>
        </w:rPr>
      </w:pPr>
    </w:p>
    <w:tbl>
      <w:tblPr>
        <w:tblStyle w:val="33"/>
        <w:tblpPr w:leftFromText="180" w:rightFromText="180" w:vertAnchor="text" w:horzAnchor="page" w:tblpX="1437" w:tblpY="553"/>
        <w:tblOverlap w:val="never"/>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3"/>
        <w:gridCol w:w="900"/>
        <w:gridCol w:w="7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blHeader/>
          <w:tblCellSpacing w:w="0" w:type="dxa"/>
        </w:trPr>
        <w:tc>
          <w:tcPr>
            <w:tcW w:w="693" w:type="dxa"/>
            <w:tcBorders>
              <w:tl2br w:val="nil"/>
              <w:tr2bl w:val="nil"/>
            </w:tcBorders>
            <w:vAlign w:val="center"/>
          </w:tcPr>
          <w:p>
            <w:pPr>
              <w:widowControl/>
              <w:jc w:val="left"/>
              <w:rPr>
                <w:highlight w:val="none"/>
              </w:rPr>
            </w:pPr>
            <w:r>
              <w:rPr>
                <w:rFonts w:ascii="宋体" w:hAnsi="宋体" w:cs="宋体"/>
                <w:kern w:val="0"/>
                <w:sz w:val="24"/>
                <w:highlight w:val="none"/>
              </w:rPr>
              <w:t>评标项目</w:t>
            </w:r>
          </w:p>
        </w:tc>
        <w:tc>
          <w:tcPr>
            <w:tcW w:w="900" w:type="dxa"/>
            <w:tcBorders>
              <w:tl2br w:val="nil"/>
              <w:tr2bl w:val="nil"/>
            </w:tcBorders>
            <w:vAlign w:val="center"/>
          </w:tcPr>
          <w:p>
            <w:pPr>
              <w:widowControl/>
              <w:jc w:val="left"/>
              <w:rPr>
                <w:highlight w:val="none"/>
              </w:rPr>
            </w:pPr>
            <w:r>
              <w:rPr>
                <w:rFonts w:ascii="宋体" w:hAnsi="宋体" w:cs="宋体"/>
                <w:kern w:val="0"/>
                <w:sz w:val="24"/>
                <w:highlight w:val="none"/>
              </w:rPr>
              <w:t>评标分值</w:t>
            </w:r>
          </w:p>
        </w:tc>
        <w:tc>
          <w:tcPr>
            <w:tcW w:w="7489" w:type="dxa"/>
            <w:tcBorders>
              <w:tl2br w:val="nil"/>
              <w:tr2bl w:val="nil"/>
            </w:tcBorders>
            <w:vAlign w:val="center"/>
          </w:tcPr>
          <w:p>
            <w:pPr>
              <w:widowControl/>
              <w:jc w:val="left"/>
              <w:rPr>
                <w:highlight w:val="none"/>
              </w:rPr>
            </w:pPr>
            <w:r>
              <w:rPr>
                <w:rFonts w:ascii="宋体" w:hAnsi="宋体" w:cs="宋体"/>
                <w:kern w:val="0"/>
                <w:sz w:val="24"/>
                <w:highlight w:val="none"/>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93" w:type="dxa"/>
            <w:tcBorders>
              <w:tl2br w:val="nil"/>
              <w:tr2bl w:val="nil"/>
            </w:tcBorders>
            <w:vAlign w:val="center"/>
          </w:tcPr>
          <w:p>
            <w:pPr>
              <w:widowControl/>
              <w:jc w:val="center"/>
              <w:rPr>
                <w:rFonts w:ascii="宋体" w:hAnsi="宋体" w:cs="宋体"/>
                <w:sz w:val="24"/>
                <w:highlight w:val="none"/>
              </w:rPr>
            </w:pPr>
            <w:r>
              <w:rPr>
                <w:rFonts w:hint="eastAsia" w:ascii="宋体" w:hAnsi="宋体" w:cs="宋体"/>
                <w:sz w:val="24"/>
                <w:highlight w:val="none"/>
              </w:rPr>
              <w:t>B1.</w:t>
            </w:r>
          </w:p>
        </w:tc>
        <w:tc>
          <w:tcPr>
            <w:tcW w:w="900" w:type="dxa"/>
            <w:tcBorders>
              <w:tl2br w:val="nil"/>
              <w:tr2bl w:val="nil"/>
            </w:tcBorders>
            <w:vAlign w:val="center"/>
          </w:tcPr>
          <w:p>
            <w:pPr>
              <w:widowControl/>
              <w:jc w:val="center"/>
              <w:rPr>
                <w:rFonts w:ascii="宋体" w:hAnsi="宋体" w:cs="宋体"/>
                <w:sz w:val="24"/>
                <w:highlight w:val="none"/>
              </w:rPr>
            </w:pPr>
            <w:r>
              <w:rPr>
                <w:rFonts w:hint="eastAsia" w:ascii="宋体" w:hAnsi="宋体" w:cs="宋体"/>
                <w:sz w:val="24"/>
                <w:highlight w:val="none"/>
              </w:rPr>
              <w:t>2</w:t>
            </w:r>
          </w:p>
        </w:tc>
        <w:tc>
          <w:tcPr>
            <w:tcW w:w="7489" w:type="dxa"/>
            <w:tcBorders>
              <w:tl2br w:val="nil"/>
              <w:tr2bl w:val="nil"/>
            </w:tcBorders>
            <w:vAlign w:val="center"/>
          </w:tcPr>
          <w:p>
            <w:pPr>
              <w:ind w:firstLine="480" w:firstLineChars="200"/>
              <w:rPr>
                <w:rFonts w:cs="宋体" w:asciiTheme="minorEastAsia" w:hAnsiTheme="minorEastAsia"/>
                <w:position w:val="-2"/>
                <w:sz w:val="24"/>
                <w:highlight w:val="none"/>
              </w:rPr>
            </w:pPr>
            <w:r>
              <w:rPr>
                <w:rFonts w:hint="eastAsia" w:cs="宋体" w:asciiTheme="minorEastAsia" w:hAnsiTheme="minorEastAsia"/>
                <w:position w:val="-2"/>
                <w:sz w:val="24"/>
                <w:highlight w:val="none"/>
              </w:rPr>
              <w:t>综合考虑投标人的项目执行方案的合理性、内容全面性、可行性等（内容应包括人员配置情况、供货计划、安装调试方案、培训等）进行综合评比，</w:t>
            </w:r>
            <w:r>
              <w:rPr>
                <w:rFonts w:hint="eastAsia" w:cs="宋体" w:asciiTheme="minorEastAsia" w:hAnsiTheme="minorEastAsia"/>
                <w:color w:val="FF0000"/>
                <w:position w:val="-2"/>
                <w:sz w:val="24"/>
                <w:highlight w:val="none"/>
              </w:rPr>
              <w:t>分优(</w:t>
            </w:r>
            <w:r>
              <w:rPr>
                <w:rFonts w:hint="eastAsia" w:cs="宋体" w:asciiTheme="minorEastAsia" w:hAnsiTheme="minorEastAsia"/>
                <w:color w:val="FF0000"/>
                <w:position w:val="-2"/>
                <w:sz w:val="24"/>
                <w:highlight w:val="none"/>
                <w:lang w:val="en-US" w:eastAsia="zh-CN"/>
              </w:rPr>
              <w:t>1</w:t>
            </w:r>
            <w:r>
              <w:rPr>
                <w:rFonts w:hint="eastAsia" w:cs="宋体" w:asciiTheme="minorEastAsia" w:hAnsiTheme="minorEastAsia"/>
                <w:color w:val="FF0000"/>
                <w:position w:val="-2"/>
                <w:sz w:val="24"/>
                <w:highlight w:val="none"/>
              </w:rPr>
              <w:t>分)、</w:t>
            </w:r>
            <w:r>
              <w:rPr>
                <w:rFonts w:hint="eastAsia" w:cs="宋体" w:asciiTheme="minorEastAsia" w:hAnsiTheme="minorEastAsia"/>
                <w:position w:val="-2"/>
                <w:sz w:val="24"/>
                <w:highlight w:val="none"/>
              </w:rPr>
              <w:t>良（</w:t>
            </w:r>
            <w:r>
              <w:rPr>
                <w:rFonts w:hint="eastAsia" w:cs="宋体" w:asciiTheme="minorEastAsia" w:hAnsiTheme="minorEastAsia"/>
                <w:position w:val="-2"/>
                <w:sz w:val="24"/>
                <w:highlight w:val="none"/>
                <w:lang w:val="en-US" w:eastAsia="zh-CN"/>
              </w:rPr>
              <w:t>0.5</w:t>
            </w:r>
            <w:r>
              <w:rPr>
                <w:rFonts w:hint="eastAsia" w:cs="宋体" w:asciiTheme="minorEastAsia" w:hAnsiTheme="minorEastAsia"/>
                <w:position w:val="-2"/>
                <w:sz w:val="24"/>
                <w:highlight w:val="none"/>
              </w:rPr>
              <w:t>分），差（0分）三个档次打分。</w:t>
            </w:r>
          </w:p>
          <w:p>
            <w:pPr>
              <w:ind w:firstLine="480" w:firstLineChars="200"/>
              <w:rPr>
                <w:rFonts w:cs="宋体" w:asciiTheme="minorEastAsia" w:hAnsiTheme="minorEastAsia"/>
                <w:color w:val="FF0000"/>
                <w:position w:val="-2"/>
                <w:sz w:val="24"/>
                <w:highlight w:val="none"/>
              </w:rPr>
            </w:pPr>
            <w:r>
              <w:rPr>
                <w:rFonts w:hint="eastAsia" w:cs="宋体" w:asciiTheme="minorEastAsia" w:hAnsiTheme="minorEastAsia"/>
                <w:color w:val="000000"/>
                <w:position w:val="-2"/>
                <w:sz w:val="24"/>
                <w:highlight w:val="none"/>
              </w:rPr>
              <w:t>根据投标人质保期内外的运行及维修服务的方案是否科学是否合理，是否有相应服务的承诺，</w:t>
            </w:r>
            <w:r>
              <w:rPr>
                <w:rFonts w:hint="eastAsia" w:cs="宋体" w:asciiTheme="minorEastAsia" w:hAnsiTheme="minorEastAsia"/>
                <w:position w:val="-2"/>
                <w:sz w:val="24"/>
                <w:highlight w:val="none"/>
              </w:rPr>
              <w:t>具有星级售后服务认证证书五星级及以上，得1分，四星级的得0.5分，其他不得分，未提供相关证明不得分。开标时证书原件上交备查。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93" w:type="dxa"/>
            <w:tcBorders>
              <w:tl2br w:val="nil"/>
              <w:tr2bl w:val="nil"/>
            </w:tcBorders>
            <w:vAlign w:val="center"/>
          </w:tcPr>
          <w:p>
            <w:pPr>
              <w:widowControl/>
              <w:jc w:val="center"/>
              <w:rPr>
                <w:rFonts w:ascii="宋体" w:hAnsi="宋体" w:cs="宋体"/>
                <w:sz w:val="24"/>
                <w:highlight w:val="none"/>
              </w:rPr>
            </w:pPr>
            <w:r>
              <w:rPr>
                <w:rFonts w:hint="eastAsia" w:ascii="宋体" w:hAnsi="宋体" w:cs="宋体"/>
                <w:sz w:val="24"/>
                <w:highlight w:val="none"/>
              </w:rPr>
              <w:t>B2.</w:t>
            </w:r>
          </w:p>
        </w:tc>
        <w:tc>
          <w:tcPr>
            <w:tcW w:w="900" w:type="dxa"/>
            <w:tcBorders>
              <w:tl2br w:val="nil"/>
              <w:tr2bl w:val="nil"/>
            </w:tcBorders>
            <w:vAlign w:val="center"/>
          </w:tcPr>
          <w:p>
            <w:pPr>
              <w:widowControl/>
              <w:jc w:val="center"/>
              <w:rPr>
                <w:rFonts w:ascii="宋体" w:hAnsi="宋体" w:cs="宋体"/>
                <w:sz w:val="24"/>
                <w:highlight w:val="none"/>
              </w:rPr>
            </w:pPr>
            <w:r>
              <w:rPr>
                <w:rFonts w:hint="eastAsia" w:ascii="宋体" w:hAnsi="宋体" w:cs="宋体"/>
                <w:sz w:val="24"/>
                <w:highlight w:val="none"/>
              </w:rPr>
              <w:t>1</w:t>
            </w:r>
          </w:p>
        </w:tc>
        <w:tc>
          <w:tcPr>
            <w:tcW w:w="7489" w:type="dxa"/>
            <w:tcBorders>
              <w:tl2br w:val="nil"/>
              <w:tr2bl w:val="nil"/>
            </w:tcBorders>
            <w:vAlign w:val="center"/>
          </w:tcPr>
          <w:p>
            <w:pPr>
              <w:widowControl/>
              <w:jc w:val="left"/>
              <w:rPr>
                <w:rFonts w:ascii="宋体" w:hAnsi="宋体" w:cs="宋体"/>
                <w:sz w:val="24"/>
                <w:highlight w:val="none"/>
              </w:rPr>
            </w:pPr>
            <w:r>
              <w:rPr>
                <w:rFonts w:hint="eastAsia" w:ascii="宋体" w:hAnsi="宋体" w:cs="宋体"/>
                <w:kern w:val="0"/>
                <w:sz w:val="24"/>
                <w:highlight w:val="none"/>
              </w:rPr>
              <w:t>投标人的信誉情况:</w:t>
            </w:r>
            <w:r>
              <w:rPr>
                <w:rFonts w:hint="eastAsia" w:asciiTheme="minorEastAsia" w:hAnsiTheme="minorEastAsia"/>
                <w:sz w:val="24"/>
                <w:highlight w:val="none"/>
              </w:rPr>
              <w:t xml:space="preserve"> 投标人近3年内获得AAA级及以上信用等级证书或银行出具的AAA及以上信用证明的，得1分。（提供有效的证书复印件，否则不得分，开标时原件备查）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693" w:type="dxa"/>
            <w:tcBorders>
              <w:tl2br w:val="nil"/>
              <w:tr2bl w:val="nil"/>
            </w:tcBorders>
            <w:vAlign w:val="center"/>
          </w:tcPr>
          <w:p>
            <w:pPr>
              <w:widowControl/>
              <w:jc w:val="center"/>
              <w:rPr>
                <w:rFonts w:ascii="宋体" w:hAnsi="宋体" w:cs="宋体"/>
                <w:sz w:val="24"/>
                <w:highlight w:val="none"/>
              </w:rPr>
            </w:pPr>
            <w:r>
              <w:rPr>
                <w:rFonts w:hint="eastAsia" w:ascii="宋体" w:hAnsi="宋体" w:cs="宋体"/>
                <w:sz w:val="24"/>
                <w:highlight w:val="none"/>
              </w:rPr>
              <w:t>B3.</w:t>
            </w:r>
          </w:p>
        </w:tc>
        <w:tc>
          <w:tcPr>
            <w:tcW w:w="900" w:type="dxa"/>
            <w:tcBorders>
              <w:tl2br w:val="nil"/>
              <w:tr2bl w:val="nil"/>
            </w:tcBorders>
            <w:vAlign w:val="center"/>
          </w:tcPr>
          <w:p>
            <w:pPr>
              <w:widowControl/>
              <w:jc w:val="center"/>
              <w:rPr>
                <w:rFonts w:ascii="宋体" w:hAnsi="宋体" w:cs="宋体"/>
                <w:sz w:val="24"/>
                <w:highlight w:val="none"/>
              </w:rPr>
            </w:pPr>
            <w:r>
              <w:rPr>
                <w:rFonts w:ascii="宋体" w:hAnsi="宋体" w:cs="宋体"/>
                <w:sz w:val="24"/>
                <w:highlight w:val="none"/>
              </w:rPr>
              <w:t>3</w:t>
            </w:r>
          </w:p>
        </w:tc>
        <w:tc>
          <w:tcPr>
            <w:tcW w:w="7489" w:type="dxa"/>
            <w:tcBorders>
              <w:tl2br w:val="nil"/>
              <w:tr2bl w:val="nil"/>
            </w:tcBorders>
            <w:vAlign w:val="center"/>
          </w:tcPr>
          <w:p>
            <w:pPr>
              <w:widowControl/>
              <w:jc w:val="left"/>
              <w:rPr>
                <w:rFonts w:ascii="宋体" w:hAnsi="宋体" w:cs="宋体"/>
                <w:sz w:val="24"/>
                <w:highlight w:val="none"/>
              </w:rPr>
            </w:pPr>
            <w:r>
              <w:rPr>
                <w:rFonts w:hint="eastAsia" w:asciiTheme="minorEastAsia" w:hAnsiTheme="minorEastAsia"/>
                <w:sz w:val="24"/>
                <w:highlight w:val="none"/>
              </w:rPr>
              <w:t>投标人具有有效的ISO9001质量体系认证、ISO14001环境管理体系认证和GB/T28001系列职业健康安全管理体系认证，每提供一项得1分，满分3分。（提供有效的证书复印件，否则不得分，开标时原件上交备查）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93" w:type="dxa"/>
            <w:tcBorders>
              <w:tl2br w:val="nil"/>
              <w:tr2bl w:val="nil"/>
            </w:tcBorders>
            <w:vAlign w:val="center"/>
          </w:tcPr>
          <w:p>
            <w:pPr>
              <w:widowControl/>
              <w:jc w:val="center"/>
              <w:rPr>
                <w:rFonts w:ascii="宋体" w:hAnsi="宋体" w:cs="宋体"/>
                <w:sz w:val="24"/>
                <w:highlight w:val="none"/>
              </w:rPr>
            </w:pPr>
            <w:r>
              <w:rPr>
                <w:rFonts w:hint="eastAsia" w:ascii="宋体" w:hAnsi="宋体" w:cs="宋体"/>
                <w:sz w:val="24"/>
                <w:highlight w:val="none"/>
              </w:rPr>
              <w:t>B</w:t>
            </w:r>
            <w:r>
              <w:rPr>
                <w:rFonts w:ascii="宋体" w:hAnsi="宋体" w:cs="宋体"/>
                <w:sz w:val="24"/>
                <w:highlight w:val="none"/>
              </w:rPr>
              <w:t>4</w:t>
            </w:r>
          </w:p>
        </w:tc>
        <w:tc>
          <w:tcPr>
            <w:tcW w:w="900" w:type="dxa"/>
            <w:tcBorders>
              <w:tl2br w:val="nil"/>
              <w:tr2bl w:val="nil"/>
            </w:tcBorders>
            <w:vAlign w:val="center"/>
          </w:tcPr>
          <w:p>
            <w:pPr>
              <w:widowControl/>
              <w:jc w:val="center"/>
              <w:rPr>
                <w:rFonts w:ascii="宋体" w:hAnsi="宋体" w:cs="宋体"/>
                <w:sz w:val="24"/>
                <w:highlight w:val="none"/>
              </w:rPr>
            </w:pPr>
            <w:r>
              <w:rPr>
                <w:rFonts w:hint="eastAsia" w:ascii="宋体" w:hAnsi="宋体" w:cs="宋体"/>
                <w:sz w:val="24"/>
                <w:highlight w:val="none"/>
              </w:rPr>
              <w:t>1</w:t>
            </w:r>
          </w:p>
        </w:tc>
        <w:tc>
          <w:tcPr>
            <w:tcW w:w="7489" w:type="dxa"/>
            <w:tcBorders>
              <w:tl2br w:val="nil"/>
              <w:tr2bl w:val="nil"/>
            </w:tcBorders>
            <w:vAlign w:val="center"/>
          </w:tcPr>
          <w:p>
            <w:pPr>
              <w:widowControl/>
              <w:jc w:val="left"/>
              <w:rPr>
                <w:rFonts w:asciiTheme="minorEastAsia" w:hAnsiTheme="minorEastAsia"/>
                <w:sz w:val="24"/>
                <w:highlight w:val="none"/>
              </w:rPr>
            </w:pPr>
            <w:r>
              <w:rPr>
                <w:rFonts w:hint="eastAsia" w:asciiTheme="minorEastAsia" w:hAnsiTheme="minorEastAsia"/>
                <w:sz w:val="24"/>
                <w:highlight w:val="none"/>
              </w:rPr>
              <w:t>投标人取得省科技型企业，得1分。（提供有效的证书复印件，否则不得分，开标时原件上交备查）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93" w:type="dxa"/>
            <w:tcBorders>
              <w:tl2br w:val="nil"/>
              <w:tr2bl w:val="nil"/>
            </w:tcBorders>
            <w:vAlign w:val="center"/>
          </w:tcPr>
          <w:p>
            <w:pPr>
              <w:widowControl/>
              <w:jc w:val="center"/>
              <w:rPr>
                <w:rFonts w:ascii="宋体" w:hAnsi="宋体" w:cs="宋体"/>
                <w:sz w:val="24"/>
                <w:highlight w:val="none"/>
              </w:rPr>
            </w:pPr>
            <w:r>
              <w:rPr>
                <w:rFonts w:hint="eastAsia" w:ascii="宋体" w:hAnsi="宋体" w:cs="宋体"/>
                <w:sz w:val="24"/>
                <w:highlight w:val="none"/>
              </w:rPr>
              <w:t>B</w:t>
            </w:r>
            <w:r>
              <w:rPr>
                <w:rFonts w:ascii="宋体" w:hAnsi="宋体" w:cs="宋体"/>
                <w:sz w:val="24"/>
                <w:highlight w:val="none"/>
              </w:rPr>
              <w:t>5</w:t>
            </w:r>
            <w:r>
              <w:rPr>
                <w:rFonts w:hint="eastAsia" w:ascii="宋体" w:hAnsi="宋体" w:cs="宋体"/>
                <w:sz w:val="24"/>
                <w:highlight w:val="none"/>
              </w:rPr>
              <w:t>.</w:t>
            </w:r>
          </w:p>
        </w:tc>
        <w:tc>
          <w:tcPr>
            <w:tcW w:w="900" w:type="dxa"/>
            <w:tcBorders>
              <w:tl2br w:val="nil"/>
              <w:tr2bl w:val="nil"/>
            </w:tcBorders>
            <w:vAlign w:val="center"/>
          </w:tcPr>
          <w:p>
            <w:pPr>
              <w:widowControl/>
              <w:jc w:val="center"/>
              <w:rPr>
                <w:rFonts w:ascii="宋体" w:hAnsi="宋体" w:cs="宋体"/>
                <w:sz w:val="24"/>
                <w:highlight w:val="none"/>
              </w:rPr>
            </w:pPr>
            <w:r>
              <w:rPr>
                <w:rFonts w:hint="eastAsia" w:ascii="宋体" w:hAnsi="宋体" w:cs="宋体"/>
                <w:sz w:val="24"/>
                <w:highlight w:val="none"/>
              </w:rPr>
              <w:t>2</w:t>
            </w:r>
          </w:p>
        </w:tc>
        <w:tc>
          <w:tcPr>
            <w:tcW w:w="7489" w:type="dxa"/>
            <w:tcBorders>
              <w:tl2br w:val="nil"/>
              <w:tr2bl w:val="nil"/>
            </w:tcBorders>
            <w:vAlign w:val="center"/>
          </w:tcPr>
          <w:p>
            <w:pPr>
              <w:widowControl/>
              <w:jc w:val="left"/>
              <w:rPr>
                <w:rFonts w:ascii="宋体" w:hAnsi="宋体" w:cs="宋体"/>
                <w:sz w:val="24"/>
                <w:highlight w:val="none"/>
              </w:rPr>
            </w:pPr>
            <w:r>
              <w:rPr>
                <w:rFonts w:hint="eastAsia" w:asciiTheme="minorEastAsia" w:hAnsiTheme="minorEastAsia"/>
                <w:sz w:val="24"/>
                <w:highlight w:val="none"/>
              </w:rPr>
              <w:t>投标人所投产品具有自来水行业《计算机软件著作权登记证书》的，每提供1个证书得0.5分，本项最高得2分。提供有效的著作权登记证书复印件为考评依据，否则不得分，开标时原件上交备查。（注：软件名称中须包含“水厂”或“水务”或“水行业”或“自来水”或“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tblCellSpacing w:w="0" w:type="dxa"/>
        </w:trPr>
        <w:tc>
          <w:tcPr>
            <w:tcW w:w="693" w:type="dxa"/>
            <w:tcBorders>
              <w:tl2br w:val="nil"/>
              <w:tr2bl w:val="nil"/>
            </w:tcBorders>
            <w:vAlign w:val="center"/>
          </w:tcPr>
          <w:p>
            <w:pPr>
              <w:widowControl/>
              <w:jc w:val="center"/>
              <w:rPr>
                <w:rFonts w:ascii="宋体" w:hAnsi="宋体" w:cs="宋体"/>
                <w:sz w:val="24"/>
                <w:highlight w:val="none"/>
              </w:rPr>
            </w:pPr>
            <w:r>
              <w:rPr>
                <w:rFonts w:hint="eastAsia" w:ascii="宋体" w:hAnsi="宋体" w:cs="宋体"/>
                <w:sz w:val="24"/>
                <w:highlight w:val="none"/>
              </w:rPr>
              <w:t>B</w:t>
            </w:r>
            <w:r>
              <w:rPr>
                <w:rFonts w:ascii="宋体" w:hAnsi="宋体" w:cs="宋体"/>
                <w:sz w:val="24"/>
                <w:highlight w:val="none"/>
              </w:rPr>
              <w:t>6</w:t>
            </w:r>
            <w:r>
              <w:rPr>
                <w:rFonts w:hint="eastAsia" w:ascii="宋体" w:hAnsi="宋体" w:cs="宋体"/>
                <w:sz w:val="24"/>
                <w:highlight w:val="none"/>
              </w:rPr>
              <w:t>.</w:t>
            </w:r>
          </w:p>
        </w:tc>
        <w:tc>
          <w:tcPr>
            <w:tcW w:w="900" w:type="dxa"/>
            <w:tcBorders>
              <w:tl2br w:val="nil"/>
              <w:tr2bl w:val="nil"/>
            </w:tcBorders>
            <w:vAlign w:val="center"/>
          </w:tcPr>
          <w:p>
            <w:pPr>
              <w:widowControl/>
              <w:jc w:val="center"/>
              <w:rPr>
                <w:rFonts w:ascii="宋体" w:hAnsi="宋体" w:cs="宋体"/>
                <w:sz w:val="24"/>
                <w:highlight w:val="none"/>
              </w:rPr>
            </w:pPr>
            <w:r>
              <w:rPr>
                <w:rFonts w:hint="eastAsia" w:ascii="宋体" w:hAnsi="宋体" w:cs="宋体"/>
                <w:sz w:val="24"/>
                <w:highlight w:val="none"/>
              </w:rPr>
              <w:t>3</w:t>
            </w:r>
          </w:p>
        </w:tc>
        <w:tc>
          <w:tcPr>
            <w:tcW w:w="7489" w:type="dxa"/>
            <w:tcBorders>
              <w:tl2br w:val="nil"/>
              <w:tr2bl w:val="nil"/>
            </w:tcBorders>
            <w:vAlign w:val="center"/>
          </w:tcPr>
          <w:p>
            <w:pPr>
              <w:rPr>
                <w:rFonts w:asciiTheme="minorEastAsia" w:hAnsiTheme="minorEastAsia"/>
                <w:sz w:val="24"/>
                <w:highlight w:val="none"/>
              </w:rPr>
            </w:pPr>
            <w:r>
              <w:rPr>
                <w:rFonts w:hint="eastAsia" w:asciiTheme="minorEastAsia" w:hAnsiTheme="minorEastAsia"/>
                <w:sz w:val="24"/>
                <w:highlight w:val="none"/>
              </w:rPr>
              <w:t>投标人的技术服务能力:</w:t>
            </w:r>
          </w:p>
          <w:p>
            <w:pPr>
              <w:rPr>
                <w:rFonts w:asciiTheme="minorEastAsia" w:hAnsiTheme="minorEastAsia"/>
                <w:sz w:val="24"/>
                <w:highlight w:val="none"/>
              </w:rPr>
            </w:pPr>
            <w:r>
              <w:rPr>
                <w:rFonts w:hint="eastAsia" w:asciiTheme="minorEastAsia" w:hAnsiTheme="minorEastAsia"/>
                <w:sz w:val="24"/>
                <w:highlight w:val="none"/>
              </w:rPr>
              <w:t>1、投标人针对本项目的项目负责人为中级及以上工程师且具有建造师证书，得1分。提供职称证书、建造师证书、社保管理部门出具其人员在投标前半年的社保缴纳情况证明复印件为考评依据，否则不得分，证书开标时原件上交备查（注：职称证书专业为自动化或机电，建造师证书专业须为机电工程或市政工程）</w:t>
            </w:r>
          </w:p>
          <w:p>
            <w:pPr>
              <w:rPr>
                <w:rFonts w:asciiTheme="minorEastAsia" w:hAnsiTheme="minorEastAsia"/>
                <w:sz w:val="24"/>
                <w:highlight w:val="none"/>
              </w:rPr>
            </w:pPr>
            <w:r>
              <w:rPr>
                <w:rFonts w:hint="eastAsia" w:asciiTheme="minorEastAsia" w:hAnsiTheme="minorEastAsia"/>
                <w:sz w:val="24"/>
                <w:highlight w:val="none"/>
              </w:rPr>
              <w:t>2、投标人针对本项目的技术人员为中级及以上工程师，得1分；提供职称证书、社保管理部门出具其人员在投标前半年的社保缴纳情况证明复印件为考评依据，否则不得分，证书开标时原件上交备查。（注：职称证专业为自动化或机电）</w:t>
            </w:r>
          </w:p>
          <w:p>
            <w:pPr>
              <w:rPr>
                <w:rFonts w:asciiTheme="minorEastAsia" w:hAnsiTheme="minorEastAsia"/>
                <w:sz w:val="24"/>
                <w:highlight w:val="none"/>
              </w:rPr>
            </w:pPr>
            <w:r>
              <w:rPr>
                <w:rFonts w:hint="eastAsia" w:asciiTheme="minorEastAsia" w:hAnsiTheme="minorEastAsia"/>
                <w:sz w:val="24"/>
                <w:highlight w:val="none"/>
              </w:rPr>
              <w:t>3、投标人针对本项目的自动化调试人员为中级及以上工程师，得1分；提供职称证书、社保管理部门出具其人员在投标前半年的社保缴纳情况证明复印件为考评依据，否则不得分，证书开标时原件上交备查。（注：职称证专业为自动化或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93" w:type="dxa"/>
            <w:tcBorders>
              <w:tl2br w:val="nil"/>
              <w:tr2bl w:val="nil"/>
            </w:tcBorders>
            <w:vAlign w:val="center"/>
          </w:tcPr>
          <w:p>
            <w:pPr>
              <w:widowControl/>
              <w:jc w:val="center"/>
              <w:rPr>
                <w:rFonts w:ascii="宋体" w:hAnsi="宋体" w:cs="宋体"/>
                <w:sz w:val="24"/>
                <w:highlight w:val="none"/>
              </w:rPr>
            </w:pPr>
            <w:r>
              <w:rPr>
                <w:rFonts w:hint="eastAsia" w:ascii="宋体" w:hAnsi="宋体" w:cs="宋体"/>
                <w:sz w:val="24"/>
                <w:highlight w:val="none"/>
              </w:rPr>
              <w:t>B</w:t>
            </w:r>
            <w:r>
              <w:rPr>
                <w:rFonts w:ascii="宋体" w:hAnsi="宋体" w:cs="宋体"/>
                <w:sz w:val="24"/>
                <w:highlight w:val="none"/>
              </w:rPr>
              <w:t>7</w:t>
            </w:r>
            <w:r>
              <w:rPr>
                <w:rFonts w:hint="eastAsia" w:ascii="宋体" w:hAnsi="宋体" w:cs="宋体"/>
                <w:sz w:val="24"/>
                <w:highlight w:val="none"/>
              </w:rPr>
              <w:t>.</w:t>
            </w:r>
          </w:p>
        </w:tc>
        <w:tc>
          <w:tcPr>
            <w:tcW w:w="900" w:type="dxa"/>
            <w:tcBorders>
              <w:tl2br w:val="nil"/>
              <w:tr2bl w:val="nil"/>
            </w:tcBorders>
            <w:vAlign w:val="center"/>
          </w:tcPr>
          <w:p>
            <w:pPr>
              <w:widowControl/>
              <w:jc w:val="center"/>
              <w:rPr>
                <w:rFonts w:ascii="宋体" w:hAnsi="宋体" w:cs="宋体"/>
                <w:sz w:val="24"/>
                <w:highlight w:val="none"/>
              </w:rPr>
            </w:pPr>
            <w:r>
              <w:rPr>
                <w:rFonts w:ascii="宋体" w:hAnsi="宋体" w:cs="宋体"/>
                <w:sz w:val="24"/>
                <w:highlight w:val="none"/>
              </w:rPr>
              <w:t>3</w:t>
            </w:r>
          </w:p>
        </w:tc>
        <w:tc>
          <w:tcPr>
            <w:tcW w:w="7489" w:type="dxa"/>
            <w:tcBorders>
              <w:tl2br w:val="nil"/>
              <w:tr2bl w:val="nil"/>
            </w:tcBorders>
            <w:vAlign w:val="center"/>
          </w:tcPr>
          <w:p>
            <w:pPr>
              <w:rPr>
                <w:rFonts w:ascii="宋体" w:hAnsi="宋体" w:cs="宋体"/>
                <w:sz w:val="24"/>
                <w:highlight w:val="none"/>
              </w:rPr>
            </w:pPr>
            <w:r>
              <w:rPr>
                <w:rFonts w:hint="eastAsia" w:ascii="宋体" w:hAnsi="宋体" w:cs="宋体"/>
                <w:sz w:val="24"/>
                <w:highlight w:val="none"/>
              </w:rPr>
              <w:t>业绩：</w:t>
            </w:r>
          </w:p>
          <w:p>
            <w:pPr>
              <w:spacing w:line="360" w:lineRule="auto"/>
              <w:rPr>
                <w:rFonts w:asciiTheme="minorEastAsia" w:hAnsiTheme="minorEastAsia"/>
                <w:sz w:val="24"/>
                <w:highlight w:val="none"/>
              </w:rPr>
            </w:pPr>
            <w:r>
              <w:rPr>
                <w:rFonts w:hint="eastAsia" w:asciiTheme="minorEastAsia" w:hAnsiTheme="minorEastAsia"/>
                <w:sz w:val="24"/>
                <w:highlight w:val="none"/>
              </w:rPr>
              <w:t>投标供应商完成设计规模2.5万吨及以上的自来水厂自动化控制系统项目</w:t>
            </w:r>
            <w:r>
              <w:rPr>
                <w:rFonts w:hint="eastAsia" w:ascii="宋体" w:hAnsi="宋体" w:cs="宋体"/>
                <w:spacing w:val="6"/>
                <w:sz w:val="24"/>
                <w:highlight w:val="none"/>
              </w:rPr>
              <w:t>业绩不少于2个。</w:t>
            </w:r>
            <w:r>
              <w:rPr>
                <w:rFonts w:hint="eastAsia" w:asciiTheme="minorEastAsia" w:hAnsiTheme="minorEastAsia"/>
                <w:sz w:val="24"/>
                <w:highlight w:val="none"/>
              </w:rPr>
              <w:t>每个得1分；满分2分,须提供合同复印件,竣工验收证明或用户使用证明复印件,用户联系人及电话,原件备查,未提供的不能得分。</w:t>
            </w:r>
          </w:p>
          <w:p>
            <w:pPr>
              <w:ind w:firstLine="480" w:firstLineChars="200"/>
              <w:rPr>
                <w:rFonts w:asciiTheme="minorEastAsia" w:hAnsiTheme="minorEastAsia"/>
                <w:sz w:val="24"/>
                <w:highlight w:val="none"/>
              </w:rPr>
            </w:pPr>
            <w:r>
              <w:rPr>
                <w:rStyle w:val="38"/>
                <w:rFonts w:hint="eastAsia" w:ascii="宋体" w:hAnsi="宋体" w:cs="宋体"/>
                <w:b w:val="0"/>
                <w:bCs w:val="0"/>
                <w:sz w:val="24"/>
                <w:highlight w:val="none"/>
              </w:rPr>
              <w:t>双吸离心泵</w:t>
            </w:r>
            <w:r>
              <w:rPr>
                <w:rFonts w:hint="eastAsia" w:ascii="宋体" w:hAnsi="宋体" w:cs="宋体"/>
                <w:sz w:val="24"/>
                <w:highlight w:val="none"/>
              </w:rPr>
              <w:t>厂家具有5年以上同类设备有效应用业绩</w:t>
            </w:r>
            <w:r>
              <w:rPr>
                <w:rFonts w:hint="eastAsia" w:ascii="宋体" w:hAnsi="宋体" w:cs="宋体"/>
                <w:color w:val="FF0000"/>
                <w:sz w:val="24"/>
                <w:highlight w:val="none"/>
              </w:rPr>
              <w:t>至少1份</w:t>
            </w:r>
            <w:r>
              <w:rPr>
                <w:rFonts w:hint="eastAsia" w:ascii="宋体" w:hAnsi="宋体" w:cs="宋体"/>
                <w:sz w:val="24"/>
                <w:highlight w:val="none"/>
              </w:rPr>
              <w:t>，并提供相关证明材料并加盖公章。满足得1分，否则不得分。</w:t>
            </w:r>
          </w:p>
        </w:tc>
      </w:tr>
    </w:tbl>
    <w:p>
      <w:pPr>
        <w:pStyle w:val="28"/>
        <w:ind w:firstLine="480"/>
        <w:rPr>
          <w:highlight w:val="none"/>
        </w:rPr>
      </w:pPr>
      <w:r>
        <w:rPr>
          <w:rFonts w:hint="eastAsia"/>
          <w:highlight w:val="none"/>
        </w:rPr>
        <w:t>④加分项（</w:t>
      </w:r>
      <w:r>
        <w:rPr>
          <w:rFonts w:ascii="Calibri" w:hAnsi="Calibri" w:cs="Calibri"/>
          <w:highlight w:val="none"/>
        </w:rPr>
        <w:t>F4</w:t>
      </w:r>
      <w:r>
        <w:rPr>
          <w:rFonts w:hint="eastAsia"/>
          <w:highlight w:val="none"/>
        </w:rPr>
        <w:t>×</w:t>
      </w:r>
      <w:r>
        <w:rPr>
          <w:rFonts w:ascii="Calibri" w:hAnsi="Calibri" w:cs="Calibri"/>
          <w:highlight w:val="none"/>
        </w:rPr>
        <w:t>A4</w:t>
      </w:r>
      <w:r>
        <w:rPr>
          <w:rFonts w:hint="eastAsia"/>
          <w:highlight w:val="none"/>
        </w:rPr>
        <w:t>）</w:t>
      </w:r>
    </w:p>
    <w:p>
      <w:pPr>
        <w:pStyle w:val="28"/>
        <w:ind w:firstLine="480"/>
        <w:rPr>
          <w:highlight w:val="none"/>
        </w:rPr>
      </w:pPr>
      <w:r>
        <w:rPr>
          <w:rFonts w:hint="eastAsia"/>
          <w:highlight w:val="none"/>
        </w:rPr>
        <w:t>a.优先类节能产品、环境标志产品：</w:t>
      </w:r>
    </w:p>
    <w:p>
      <w:pPr>
        <w:pStyle w:val="28"/>
        <w:ind w:firstLine="480"/>
        <w:rPr>
          <w:highlight w:val="none"/>
        </w:rPr>
      </w:pPr>
      <w:r>
        <w:rPr>
          <w:rFonts w:hint="eastAsia"/>
          <w:highlight w:val="none"/>
        </w:rPr>
        <w:t>a1若同一合同包内节能、环境标志产品报价总金额低于该合同包报价总金额</w:t>
      </w:r>
      <w:r>
        <w:rPr>
          <w:rFonts w:ascii="Calibri" w:hAnsi="Calibri" w:cs="Calibri"/>
          <w:highlight w:val="none"/>
        </w:rPr>
        <w:t>20%</w:t>
      </w:r>
      <w:r>
        <w:rPr>
          <w:rFonts w:hint="eastAsia"/>
          <w:highlight w:val="none"/>
        </w:rPr>
        <w:t>（含</w:t>
      </w:r>
      <w:r>
        <w:rPr>
          <w:rFonts w:ascii="Calibri" w:hAnsi="Calibri" w:cs="Calibri"/>
          <w:highlight w:val="none"/>
        </w:rPr>
        <w:t>20%</w:t>
      </w:r>
      <w:r>
        <w:rPr>
          <w:rFonts w:hint="eastAsia"/>
          <w:highlight w:val="none"/>
        </w:rPr>
        <w:t>）以下，将分别给予节能、环境标志产品价格项（</w:t>
      </w:r>
      <w:r>
        <w:rPr>
          <w:rFonts w:ascii="Calibri" w:hAnsi="Calibri" w:cs="Calibri"/>
          <w:highlight w:val="none"/>
        </w:rPr>
        <w:t>F1</w:t>
      </w:r>
      <w:r>
        <w:rPr>
          <w:rFonts w:hint="eastAsia"/>
          <w:highlight w:val="none"/>
        </w:rPr>
        <w:t>×</w:t>
      </w:r>
      <w:r>
        <w:rPr>
          <w:rFonts w:ascii="Calibri" w:hAnsi="Calibri" w:cs="Calibri"/>
          <w:highlight w:val="none"/>
        </w:rPr>
        <w:t>A1</w:t>
      </w:r>
      <w:r>
        <w:rPr>
          <w:rFonts w:hint="eastAsia"/>
          <w:highlight w:val="none"/>
        </w:rPr>
        <w:t>，按照满分计）和技术项（</w:t>
      </w:r>
      <w:r>
        <w:rPr>
          <w:rFonts w:ascii="Calibri" w:hAnsi="Calibri" w:cs="Calibri"/>
          <w:highlight w:val="none"/>
        </w:rPr>
        <w:t>F2</w:t>
      </w:r>
      <w:r>
        <w:rPr>
          <w:rFonts w:hint="eastAsia"/>
          <w:highlight w:val="none"/>
        </w:rPr>
        <w:t>×</w:t>
      </w:r>
      <w:r>
        <w:rPr>
          <w:rFonts w:ascii="Calibri" w:hAnsi="Calibri" w:cs="Calibri"/>
          <w:highlight w:val="none"/>
        </w:rPr>
        <w:t>A2</w:t>
      </w:r>
      <w:r>
        <w:rPr>
          <w:rFonts w:hint="eastAsia"/>
          <w:highlight w:val="none"/>
        </w:rPr>
        <w:t>，按照满分计）</w:t>
      </w:r>
      <w:r>
        <w:rPr>
          <w:rFonts w:ascii="Calibri" w:hAnsi="Calibri" w:cs="Calibri"/>
          <w:highlight w:val="none"/>
        </w:rPr>
        <w:t>4%</w:t>
      </w:r>
      <w:r>
        <w:rPr>
          <w:rFonts w:hint="eastAsia"/>
          <w:highlight w:val="none"/>
        </w:rPr>
        <w:t>的加分；若同一合同包内节能、环境标志产品报价总金额占该合同包报价总金额</w:t>
      </w:r>
      <w:r>
        <w:rPr>
          <w:rFonts w:ascii="Calibri" w:hAnsi="Calibri" w:cs="Calibri"/>
          <w:highlight w:val="none"/>
        </w:rPr>
        <w:t>20%-50%</w:t>
      </w:r>
      <w:r>
        <w:rPr>
          <w:rFonts w:hint="eastAsia"/>
          <w:highlight w:val="none"/>
        </w:rPr>
        <w:t>（含</w:t>
      </w:r>
      <w:r>
        <w:rPr>
          <w:rFonts w:ascii="Calibri" w:hAnsi="Calibri" w:cs="Calibri"/>
          <w:highlight w:val="none"/>
        </w:rPr>
        <w:t>50%</w:t>
      </w:r>
      <w:r>
        <w:rPr>
          <w:rFonts w:hint="eastAsia"/>
          <w:highlight w:val="none"/>
        </w:rPr>
        <w:t>），将分别给予节能、环境标志产品价格项（</w:t>
      </w:r>
      <w:r>
        <w:rPr>
          <w:rFonts w:ascii="Calibri" w:hAnsi="Calibri" w:cs="Calibri"/>
          <w:highlight w:val="none"/>
        </w:rPr>
        <w:t>F1</w:t>
      </w:r>
      <w:r>
        <w:rPr>
          <w:rFonts w:hint="eastAsia"/>
          <w:highlight w:val="none"/>
        </w:rPr>
        <w:t>×</w:t>
      </w:r>
      <w:r>
        <w:rPr>
          <w:rFonts w:ascii="Calibri" w:hAnsi="Calibri" w:cs="Calibri"/>
          <w:highlight w:val="none"/>
        </w:rPr>
        <w:t>A1</w:t>
      </w:r>
      <w:r>
        <w:rPr>
          <w:rFonts w:hint="eastAsia"/>
          <w:highlight w:val="none"/>
        </w:rPr>
        <w:t>，按照满分计）和技术项（</w:t>
      </w:r>
      <w:r>
        <w:rPr>
          <w:rFonts w:ascii="Calibri" w:hAnsi="Calibri" w:cs="Calibri"/>
          <w:highlight w:val="none"/>
        </w:rPr>
        <w:t>F2</w:t>
      </w:r>
      <w:r>
        <w:rPr>
          <w:rFonts w:hint="eastAsia"/>
          <w:highlight w:val="none"/>
        </w:rPr>
        <w:t>×</w:t>
      </w:r>
      <w:r>
        <w:rPr>
          <w:rFonts w:ascii="Calibri" w:hAnsi="Calibri" w:cs="Calibri"/>
          <w:highlight w:val="none"/>
        </w:rPr>
        <w:t>A2</w:t>
      </w:r>
      <w:r>
        <w:rPr>
          <w:rFonts w:hint="eastAsia"/>
          <w:highlight w:val="none"/>
        </w:rPr>
        <w:t>，按照满分计）</w:t>
      </w:r>
      <w:r>
        <w:rPr>
          <w:rFonts w:ascii="Calibri" w:hAnsi="Calibri" w:cs="Calibri"/>
          <w:highlight w:val="none"/>
        </w:rPr>
        <w:t>6%</w:t>
      </w:r>
      <w:r>
        <w:rPr>
          <w:rFonts w:hint="eastAsia"/>
          <w:highlight w:val="none"/>
        </w:rPr>
        <w:t>的加分；若同一合同包内节能、环境标志产品报价总金额占该合同包报价总金额</w:t>
      </w:r>
      <w:r>
        <w:rPr>
          <w:rFonts w:ascii="Calibri" w:hAnsi="Calibri" w:cs="Calibri"/>
          <w:highlight w:val="none"/>
        </w:rPr>
        <w:t>50%</w:t>
      </w:r>
      <w:r>
        <w:rPr>
          <w:rFonts w:hint="eastAsia"/>
          <w:highlight w:val="none"/>
        </w:rPr>
        <w:t>以上的，将分别给予节能、环境标志产品价格项（</w:t>
      </w:r>
      <w:r>
        <w:rPr>
          <w:rFonts w:ascii="Calibri" w:hAnsi="Calibri" w:cs="Calibri"/>
          <w:highlight w:val="none"/>
        </w:rPr>
        <w:t>F1</w:t>
      </w:r>
      <w:r>
        <w:rPr>
          <w:rFonts w:hint="eastAsia"/>
          <w:highlight w:val="none"/>
        </w:rPr>
        <w:t>×</w:t>
      </w:r>
      <w:r>
        <w:rPr>
          <w:rFonts w:ascii="Calibri" w:hAnsi="Calibri" w:cs="Calibri"/>
          <w:highlight w:val="none"/>
        </w:rPr>
        <w:t>A1</w:t>
      </w:r>
      <w:r>
        <w:rPr>
          <w:rFonts w:hint="eastAsia"/>
          <w:highlight w:val="none"/>
        </w:rPr>
        <w:t>，按照满分计）和技术项（</w:t>
      </w:r>
      <w:r>
        <w:rPr>
          <w:rFonts w:ascii="Calibri" w:hAnsi="Calibri" w:cs="Calibri"/>
          <w:highlight w:val="none"/>
        </w:rPr>
        <w:t>F2</w:t>
      </w:r>
      <w:r>
        <w:rPr>
          <w:rFonts w:hint="eastAsia"/>
          <w:highlight w:val="none"/>
        </w:rPr>
        <w:t>×</w:t>
      </w:r>
      <w:r>
        <w:rPr>
          <w:rFonts w:ascii="Calibri" w:hAnsi="Calibri" w:cs="Calibri"/>
          <w:highlight w:val="none"/>
        </w:rPr>
        <w:t>A2</w:t>
      </w:r>
      <w:r>
        <w:rPr>
          <w:rFonts w:hint="eastAsia"/>
          <w:highlight w:val="none"/>
        </w:rPr>
        <w:t>，按照满分计）</w:t>
      </w:r>
      <w:r>
        <w:rPr>
          <w:rFonts w:ascii="Calibri" w:hAnsi="Calibri" w:cs="Calibri"/>
          <w:highlight w:val="none"/>
        </w:rPr>
        <w:t>8%</w:t>
      </w:r>
      <w:r>
        <w:rPr>
          <w:rFonts w:hint="eastAsia"/>
          <w:highlight w:val="none"/>
        </w:rPr>
        <w:t>的加分。</w:t>
      </w:r>
    </w:p>
    <w:p>
      <w:pPr>
        <w:pStyle w:val="28"/>
        <w:ind w:firstLine="480"/>
        <w:rPr>
          <w:highlight w:val="none"/>
        </w:rPr>
      </w:pPr>
      <w:r>
        <w:rPr>
          <w:rFonts w:hint="eastAsia"/>
          <w:highlight w:val="none"/>
        </w:rPr>
        <w:t>a2若节能、环境标志产品仅是构成投标产品的部件、组件或零件，则该投标产品不享受鼓励优惠政策。同一品目中各认证证书不重复计算加分。强制类节能产品不享受加分。</w:t>
      </w:r>
      <w:r>
        <w:rPr>
          <w:highlight w:val="none"/>
        </w:rPr>
        <w:t xml:space="preserve"> </w:t>
      </w:r>
      <w:r>
        <w:rPr>
          <w:highlight w:val="none"/>
        </w:rPr>
        <w:br w:type="textWrapping"/>
      </w:r>
      <w:r>
        <w:rPr>
          <w:rStyle w:val="38"/>
          <w:highlight w:val="none"/>
        </w:rPr>
        <w:t>         无</w:t>
      </w:r>
    </w:p>
    <w:p>
      <w:pPr>
        <w:pStyle w:val="28"/>
        <w:ind w:firstLine="480"/>
        <w:rPr>
          <w:highlight w:val="none"/>
        </w:rPr>
      </w:pPr>
      <w:r>
        <w:rPr>
          <w:rFonts w:hint="eastAsia"/>
          <w:highlight w:val="none"/>
        </w:rPr>
        <w:t>（4）中标候选人排列规则顺序如下：</w:t>
      </w:r>
      <w:r>
        <w:rPr>
          <w:highlight w:val="none"/>
        </w:rPr>
        <w:t xml:space="preserve"> </w:t>
      </w:r>
    </w:p>
    <w:p>
      <w:pPr>
        <w:pStyle w:val="28"/>
        <w:ind w:firstLine="480"/>
        <w:rPr>
          <w:highlight w:val="none"/>
        </w:rPr>
      </w:pPr>
      <w:r>
        <w:rPr>
          <w:rFonts w:hint="eastAsia"/>
          <w:highlight w:val="none"/>
        </w:rPr>
        <w:t>a.按照评标总得分（</w:t>
      </w:r>
      <w:r>
        <w:rPr>
          <w:rFonts w:ascii="Calibri" w:hAnsi="Calibri" w:cs="Calibri"/>
          <w:highlight w:val="none"/>
        </w:rPr>
        <w:t>FA</w:t>
      </w:r>
      <w:r>
        <w:rPr>
          <w:rFonts w:hint="eastAsia"/>
          <w:highlight w:val="none"/>
        </w:rPr>
        <w:t>）由高到低顺序排列。</w:t>
      </w:r>
    </w:p>
    <w:p>
      <w:pPr>
        <w:pStyle w:val="28"/>
        <w:ind w:firstLine="480"/>
        <w:rPr>
          <w:highlight w:val="none"/>
        </w:rPr>
      </w:pPr>
      <w:r>
        <w:rPr>
          <w:rFonts w:hint="eastAsia"/>
          <w:highlight w:val="none"/>
        </w:rPr>
        <w:t>b.评标总得分（</w:t>
      </w:r>
      <w:r>
        <w:rPr>
          <w:rFonts w:ascii="Calibri" w:hAnsi="Calibri" w:cs="Calibri"/>
          <w:highlight w:val="none"/>
        </w:rPr>
        <w:t>FA</w:t>
      </w:r>
      <w:r>
        <w:rPr>
          <w:rFonts w:hint="eastAsia"/>
          <w:highlight w:val="none"/>
        </w:rPr>
        <w:t>）相同的，按照评标价（即价格扣除后的投标报价）由低到高顺序排列。</w:t>
      </w:r>
      <w:r>
        <w:rPr>
          <w:highlight w:val="none"/>
        </w:rPr>
        <w:t xml:space="preserve"> </w:t>
      </w:r>
    </w:p>
    <w:p>
      <w:pPr>
        <w:pStyle w:val="28"/>
        <w:ind w:firstLine="480"/>
        <w:rPr>
          <w:highlight w:val="none"/>
        </w:rPr>
      </w:pPr>
      <w:r>
        <w:rPr>
          <w:rFonts w:hint="eastAsia"/>
          <w:highlight w:val="none"/>
        </w:rPr>
        <w:t>c.评标总得分（</w:t>
      </w:r>
      <w:r>
        <w:rPr>
          <w:rFonts w:ascii="Calibri" w:hAnsi="Calibri" w:cs="Calibri"/>
          <w:highlight w:val="none"/>
        </w:rPr>
        <w:t>FA</w:t>
      </w:r>
      <w:r>
        <w:rPr>
          <w:rFonts w:hint="eastAsia"/>
          <w:highlight w:val="none"/>
        </w:rPr>
        <w:t>）且评标价（即价格扣除后的投标报价）相同的并列。</w:t>
      </w:r>
      <w:r>
        <w:rPr>
          <w:highlight w:val="none"/>
        </w:rPr>
        <w:t xml:space="preserve"> </w:t>
      </w:r>
    </w:p>
    <w:p>
      <w:pPr>
        <w:pStyle w:val="28"/>
        <w:spacing w:before="75" w:beforeAutospacing="0" w:after="75" w:afterAutospacing="0"/>
        <w:rPr>
          <w:highlight w:val="none"/>
        </w:rPr>
      </w:pPr>
      <w:r>
        <w:rPr>
          <w:rFonts w:hint="eastAsia"/>
          <w:highlight w:val="none"/>
        </w:rPr>
        <w:t>8、其他规定</w:t>
      </w:r>
    </w:p>
    <w:p>
      <w:pPr>
        <w:pStyle w:val="28"/>
        <w:spacing w:before="75" w:beforeAutospacing="0" w:after="75" w:afterAutospacing="0"/>
        <w:rPr>
          <w:highlight w:val="none"/>
        </w:rPr>
      </w:pPr>
      <w:r>
        <w:rPr>
          <w:rFonts w:hint="eastAsia"/>
          <w:highlight w:val="none"/>
        </w:rPr>
        <w:t>8.1评标应全程保密且不得透露给任一投标人或与评标工作无关的人员。</w:t>
      </w:r>
    </w:p>
    <w:p>
      <w:pPr>
        <w:pStyle w:val="28"/>
        <w:spacing w:before="75" w:beforeAutospacing="0" w:after="75" w:afterAutospacing="0"/>
        <w:rPr>
          <w:highlight w:val="none"/>
        </w:rPr>
      </w:pPr>
      <w:r>
        <w:rPr>
          <w:rFonts w:hint="eastAsia"/>
          <w:highlight w:val="none"/>
        </w:rPr>
        <w:t>8.2评标将进行全程实时录音录像，录音录像资料随采购文件一并存档。</w:t>
      </w:r>
    </w:p>
    <w:p>
      <w:pPr>
        <w:pStyle w:val="28"/>
        <w:spacing w:before="75" w:beforeAutospacing="0" w:after="75" w:afterAutospacing="0"/>
        <w:rPr>
          <w:highlight w:val="none"/>
        </w:rPr>
      </w:pPr>
      <w:r>
        <w:rPr>
          <w:rFonts w:hint="eastAsia"/>
          <w:highlight w:val="none"/>
        </w:rPr>
        <w:t>8.3若投标人有任何试图干扰具体评标事务，影响评标委员会独立履行职责的行为，其投标无效且不予退还投标保证金。情节严重的，由财政部门列入不良行为记录。</w:t>
      </w:r>
    </w:p>
    <w:p>
      <w:pPr>
        <w:pStyle w:val="28"/>
        <w:spacing w:before="75" w:beforeAutospacing="0" w:after="75" w:afterAutospacing="0"/>
        <w:rPr>
          <w:highlight w:val="none"/>
        </w:rPr>
        <w:sectPr>
          <w:pgSz w:w="11907" w:h="16840"/>
          <w:pgMar w:top="1417" w:right="1417" w:bottom="1417" w:left="1417" w:header="851" w:footer="992" w:gutter="0"/>
          <w:cols w:space="720" w:num="1"/>
          <w:titlePg/>
          <w:docGrid w:linePitch="323" w:charSpace="0"/>
        </w:sectPr>
      </w:pPr>
      <w:r>
        <w:rPr>
          <w:rFonts w:hint="eastAsia"/>
          <w:highlight w:val="none"/>
        </w:rPr>
        <w:t>8.4其他：</w:t>
      </w:r>
      <w:r>
        <w:rPr>
          <w:highlight w:val="none"/>
        </w:rPr>
        <w:t>无。</w:t>
      </w:r>
    </w:p>
    <w:p>
      <w:pPr>
        <w:numPr>
          <w:ilvl w:val="0"/>
          <w:numId w:val="8"/>
        </w:numPr>
        <w:snapToGrid w:val="0"/>
        <w:spacing w:line="360" w:lineRule="auto"/>
        <w:ind w:firstLine="723" w:firstLineChars="200"/>
        <w:jc w:val="center"/>
        <w:rPr>
          <w:rFonts w:ascii="宋体" w:hAnsi="宋体" w:cs="宋体"/>
          <w:b/>
          <w:bCs/>
          <w:sz w:val="36"/>
          <w:szCs w:val="36"/>
          <w:highlight w:val="none"/>
        </w:rPr>
      </w:pPr>
      <w:bookmarkStart w:id="38" w:name="_Toc40254102"/>
      <w:bookmarkStart w:id="39" w:name="_Toc21011"/>
      <w:r>
        <w:rPr>
          <w:rFonts w:hint="eastAsia" w:ascii="宋体" w:hAnsi="宋体" w:cs="宋体"/>
          <w:b/>
          <w:bCs/>
          <w:sz w:val="36"/>
          <w:szCs w:val="36"/>
          <w:highlight w:val="none"/>
        </w:rPr>
        <w:t>招标内容及要求</w:t>
      </w:r>
      <w:bookmarkEnd w:id="38"/>
      <w:bookmarkEnd w:id="39"/>
    </w:p>
    <w:p>
      <w:pPr>
        <w:snapToGrid w:val="0"/>
        <w:spacing w:line="360" w:lineRule="auto"/>
        <w:rPr>
          <w:rFonts w:ascii="宋体" w:hAnsi="宋体" w:cs="宋体"/>
          <w:b/>
          <w:bCs/>
          <w:color w:val="FF0000"/>
          <w:sz w:val="24"/>
          <w:highlight w:val="none"/>
        </w:rPr>
      </w:pPr>
      <w:r>
        <w:rPr>
          <w:rFonts w:hint="eastAsia" w:ascii="宋体" w:hAnsi="宋体" w:cs="宋体"/>
          <w:b/>
          <w:bCs/>
          <w:color w:val="FF0000"/>
          <w:sz w:val="24"/>
          <w:highlight w:val="none"/>
        </w:rPr>
        <w:t>（！！！请注意：）</w:t>
      </w:r>
    </w:p>
    <w:p>
      <w:pPr>
        <w:numPr>
          <w:ilvl w:val="0"/>
          <w:numId w:val="9"/>
        </w:numPr>
        <w:snapToGrid w:val="0"/>
        <w:spacing w:line="360" w:lineRule="auto"/>
        <w:rPr>
          <w:rFonts w:ascii="宋体" w:hAnsi="宋体" w:cs="宋体"/>
          <w:b/>
          <w:bCs/>
          <w:color w:val="FF0000"/>
          <w:sz w:val="24"/>
          <w:highlight w:val="none"/>
        </w:rPr>
      </w:pPr>
      <w:r>
        <w:rPr>
          <w:rFonts w:hint="eastAsia" w:ascii="宋体" w:hAnsi="宋体" w:cs="宋体"/>
          <w:b/>
          <w:bCs/>
          <w:color w:val="FF0000"/>
          <w:sz w:val="24"/>
          <w:highlight w:val="none"/>
        </w:rPr>
        <w:t>打</w:t>
      </w:r>
      <w:r>
        <w:rPr>
          <w:rFonts w:ascii="宋体" w:hAnsi="宋体" w:cs="宋体"/>
          <w:b/>
          <w:bCs/>
          <w:color w:val="FF0000"/>
          <w:kern w:val="0"/>
          <w:sz w:val="24"/>
          <w:highlight w:val="none"/>
        </w:rPr>
        <w:t>▲</w:t>
      </w:r>
      <w:r>
        <w:rPr>
          <w:rFonts w:hint="eastAsia" w:ascii="宋体" w:hAnsi="宋体" w:cs="宋体"/>
          <w:b/>
          <w:bCs/>
          <w:color w:val="FF0000"/>
          <w:kern w:val="0"/>
          <w:sz w:val="24"/>
          <w:highlight w:val="none"/>
        </w:rPr>
        <w:t>是重要技术指标，扣分高一点。打</w:t>
      </w:r>
      <w:r>
        <w:rPr>
          <w:rFonts w:hint="eastAsia" w:ascii="宋体" w:hAnsi="宋体" w:cs="宋体"/>
          <w:b/>
          <w:bCs/>
          <w:color w:val="FF0000"/>
          <w:sz w:val="24"/>
          <w:highlight w:val="none"/>
        </w:rPr>
        <w:t>“★”项为关键设备指标，出现负偏离将被视为未实质性响应招标文件要求，不推荐为中标候选人。两种符号合计不能超过10个以上？</w:t>
      </w:r>
      <w:r>
        <w:rPr>
          <w:rFonts w:hint="eastAsia" w:ascii="宋体" w:hAnsi="宋体" w:cs="宋体"/>
          <w:b/>
          <w:bCs/>
          <w:color w:val="000000" w:themeColor="text1"/>
          <w:sz w:val="24"/>
          <w:highlight w:val="none"/>
          <w14:textFill>
            <w14:solidFill>
              <w14:schemeClr w14:val="tx1"/>
            </w14:solidFill>
          </w14:textFill>
        </w:rPr>
        <w:t>已修改</w:t>
      </w:r>
    </w:p>
    <w:p>
      <w:pPr>
        <w:numPr>
          <w:ilvl w:val="0"/>
          <w:numId w:val="9"/>
        </w:numPr>
        <w:snapToGrid w:val="0"/>
        <w:spacing w:line="360" w:lineRule="auto"/>
        <w:rPr>
          <w:rFonts w:ascii="宋体" w:hAnsi="宋体" w:cs="宋体"/>
          <w:b/>
          <w:bCs/>
          <w:color w:val="FF0000"/>
          <w:sz w:val="24"/>
          <w:highlight w:val="none"/>
        </w:rPr>
      </w:pPr>
      <w:r>
        <w:rPr>
          <w:rFonts w:hint="eastAsia" w:ascii="宋体" w:hAnsi="宋体" w:cs="宋体"/>
          <w:b/>
          <w:bCs/>
          <w:color w:val="FF0000"/>
          <w:sz w:val="24"/>
          <w:highlight w:val="none"/>
        </w:rPr>
        <w:t xml:space="preserve">进口产品麻烦标注一下，为了投标人更好报价？ </w:t>
      </w:r>
      <w:r>
        <w:rPr>
          <w:rFonts w:hint="eastAsia" w:ascii="宋体" w:hAnsi="宋体" w:cs="宋体"/>
          <w:b/>
          <w:bCs/>
          <w:color w:val="000000" w:themeColor="text1"/>
          <w:sz w:val="24"/>
          <w:highlight w:val="none"/>
          <w14:textFill>
            <w14:solidFill>
              <w14:schemeClr w14:val="tx1"/>
            </w14:solidFill>
          </w14:textFill>
        </w:rPr>
        <w:t>已标注</w:t>
      </w:r>
    </w:p>
    <w:p>
      <w:pPr>
        <w:numPr>
          <w:ilvl w:val="0"/>
          <w:numId w:val="9"/>
        </w:numPr>
        <w:snapToGrid w:val="0"/>
        <w:spacing w:line="360" w:lineRule="auto"/>
        <w:rPr>
          <w:rFonts w:ascii="宋体" w:hAnsi="宋体" w:cs="宋体"/>
          <w:b/>
          <w:bCs/>
          <w:color w:val="FF0000"/>
          <w:sz w:val="24"/>
          <w:highlight w:val="none"/>
        </w:rPr>
      </w:pPr>
      <w:r>
        <w:rPr>
          <w:rFonts w:hint="eastAsia" w:ascii="宋体" w:hAnsi="宋体" w:cs="宋体"/>
          <w:b/>
          <w:bCs/>
          <w:color w:val="FF0000"/>
          <w:sz w:val="24"/>
          <w:highlight w:val="none"/>
        </w:rPr>
        <w:t>交付时间是否需要修改？</w:t>
      </w:r>
      <w:r>
        <w:rPr>
          <w:rFonts w:hint="eastAsia" w:ascii="宋体" w:hAnsi="宋体" w:cs="宋体"/>
          <w:b/>
          <w:bCs/>
          <w:color w:val="000000" w:themeColor="text1"/>
          <w:sz w:val="24"/>
          <w:highlight w:val="none"/>
          <w14:textFill>
            <w14:solidFill>
              <w14:schemeClr w14:val="tx1"/>
            </w14:solidFill>
          </w14:textFill>
        </w:rPr>
        <w:t>已修改</w:t>
      </w:r>
    </w:p>
    <w:p>
      <w:pPr>
        <w:numPr>
          <w:ilvl w:val="0"/>
          <w:numId w:val="9"/>
        </w:numPr>
        <w:snapToGrid w:val="0"/>
        <w:spacing w:line="360" w:lineRule="auto"/>
        <w:rPr>
          <w:rFonts w:ascii="宋体" w:hAnsi="宋体" w:cs="宋体"/>
          <w:b/>
          <w:bCs/>
          <w:color w:val="FF0000"/>
          <w:sz w:val="24"/>
          <w:highlight w:val="none"/>
        </w:rPr>
      </w:pPr>
      <w:r>
        <w:rPr>
          <w:rFonts w:hint="eastAsia" w:ascii="宋体" w:hAnsi="宋体" w:cs="宋体"/>
          <w:b/>
          <w:bCs/>
          <w:color w:val="FF0000"/>
          <w:sz w:val="24"/>
          <w:highlight w:val="none"/>
        </w:rPr>
        <w:t>违约金额是否需要调整？</w:t>
      </w:r>
      <w:r>
        <w:rPr>
          <w:rFonts w:hint="eastAsia" w:ascii="宋体" w:hAnsi="宋体" w:cs="宋体"/>
          <w:b/>
          <w:bCs/>
          <w:color w:val="000000" w:themeColor="text1"/>
          <w:sz w:val="24"/>
          <w:highlight w:val="none"/>
          <w14:textFill>
            <w14:solidFill>
              <w14:schemeClr w14:val="tx1"/>
            </w14:solidFill>
          </w14:textFill>
        </w:rPr>
        <w:t>已修改</w:t>
      </w:r>
    </w:p>
    <w:p>
      <w:pPr>
        <w:pStyle w:val="2"/>
        <w:rPr>
          <w:highlight w:val="none"/>
        </w:rPr>
      </w:pPr>
      <w:r>
        <w:rPr>
          <w:rFonts w:hint="eastAsia" w:ascii="宋体" w:hAnsi="宋体" w:cs="宋体"/>
          <w:b/>
          <w:bCs/>
          <w:color w:val="FF0000"/>
          <w:sz w:val="24"/>
          <w:highlight w:val="none"/>
        </w:rPr>
        <w:t>5、采购人联系人和勘察联系人是写哪位？</w:t>
      </w:r>
    </w:p>
    <w:p>
      <w:pPr>
        <w:pStyle w:val="28"/>
        <w:spacing w:before="75" w:beforeAutospacing="0" w:after="75" w:afterAutospacing="0"/>
        <w:jc w:val="center"/>
        <w:outlineLvl w:val="1"/>
        <w:rPr>
          <w:rStyle w:val="38"/>
          <w:bCs w:val="0"/>
          <w:highlight w:val="none"/>
        </w:rPr>
      </w:pPr>
      <w:bookmarkStart w:id="40" w:name="_Toc40254103"/>
      <w:bookmarkStart w:id="41" w:name="_Toc31066"/>
      <w:r>
        <w:rPr>
          <w:rStyle w:val="38"/>
          <w:rFonts w:hint="eastAsia"/>
          <w:bCs w:val="0"/>
          <w:highlight w:val="none"/>
        </w:rPr>
        <w:t>一、工程量清单</w:t>
      </w:r>
      <w:bookmarkEnd w:id="40"/>
      <w:bookmarkEnd w:id="41"/>
    </w:p>
    <w:p>
      <w:pPr>
        <w:ind w:firstLine="480" w:firstLineChars="200"/>
        <w:rPr>
          <w:rFonts w:ascii="宋体" w:hAnsi="宋体" w:cs="宋体"/>
          <w:sz w:val="24"/>
          <w:highlight w:val="none"/>
        </w:rPr>
      </w:pPr>
      <w:r>
        <w:rPr>
          <w:rFonts w:hint="eastAsia" w:ascii="宋体" w:hAnsi="宋体" w:cs="宋体"/>
          <w:sz w:val="24"/>
          <w:highlight w:val="none"/>
        </w:rPr>
        <w:t>本次招标的货物为永安市石墨和石墨烯产业园园区水厂技术提升改造工程设备采购与安装项目。</w:t>
      </w:r>
    </w:p>
    <w:p>
      <w:pPr>
        <w:ind w:firstLine="480" w:firstLineChars="200"/>
        <w:rPr>
          <w:rFonts w:ascii="宋体" w:hAnsi="宋体" w:cs="宋体"/>
          <w:sz w:val="24"/>
          <w:highlight w:val="none"/>
        </w:rPr>
      </w:pPr>
      <w:r>
        <w:rPr>
          <w:rFonts w:hint="eastAsia" w:ascii="宋体" w:hAnsi="宋体" w:cs="宋体"/>
          <w:sz w:val="24"/>
          <w:highlight w:val="none"/>
        </w:rPr>
        <w:t>要求投标人提供的货物必须是全新的原厂原包装，通过合法渠道获得的，设备技术参数必须符合本章要求的所有技术标准、规范。投标人提供的设备和材料包括但不限于以下所列清单。</w:t>
      </w:r>
    </w:p>
    <w:p>
      <w:pPr>
        <w:pStyle w:val="2"/>
        <w:rPr>
          <w:highlight w:val="none"/>
        </w:rPr>
      </w:pPr>
    </w:p>
    <w:tbl>
      <w:tblPr>
        <w:tblStyle w:val="33"/>
        <w:tblW w:w="919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687"/>
        <w:gridCol w:w="5947"/>
        <w:gridCol w:w="789"/>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序号</w:t>
            </w:r>
          </w:p>
        </w:tc>
        <w:tc>
          <w:tcPr>
            <w:tcW w:w="687"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项目编码</w:t>
            </w:r>
          </w:p>
        </w:tc>
        <w:tc>
          <w:tcPr>
            <w:tcW w:w="5947"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项 目 名 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单位</w:t>
            </w:r>
          </w:p>
        </w:tc>
        <w:tc>
          <w:tcPr>
            <w:tcW w:w="1027" w:type="dxa"/>
            <w:shd w:val="clear" w:color="auto" w:fill="auto"/>
            <w:vAlign w:val="center"/>
          </w:tcPr>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191" w:type="dxa"/>
            <w:gridSpan w:val="5"/>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安防工程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(2)公称直径≤25mm</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(3)穿线钢管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(4)暗配</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RC钢管敷设(砖、混凝土结构暗配 公称直径≤25mm)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砖、混凝土结构暗配 RC25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(2)公称直径≤25DN</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(3)穿线钢管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(4)埋地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922.189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RC埋地敷设 公称直径≤25DN</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(2)公称直径≤32DN</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(3)穿线钢管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(4)埋地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RC埋地敷设 公称直径≤32DN</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(2)公称直径≤50DN</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(3)穿线钢管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(4)埋地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223.420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RC埋地敷设 公称直径≤50DN</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223.420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(1)YJY</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(2)3*2.5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460.890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YJY-3*2.5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460.890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1KV以下室内干包式铜芯电力电缆(电缆截面≤16mm2)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(1)YJY</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(2)3*4</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343.220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YJY-3*4</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343.220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1KV以下室内干包式铜芯电力电缆(电缆截面≤16mm2)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配线</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(2)RVV 2*1.0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(3)穿多芯软导线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(4)穿多芯软导线 RVV 2*1.0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(6)室外</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穿多芯软导线 RVV 2*1.0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配线</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(2)RVV 2*1.0</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(3)穿多芯软导线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(4)RVVSP-2*2.5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(6)室外</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331.429</w:t>
            </w:r>
          </w:p>
          <w:p>
            <w:pPr>
              <w:widowControl/>
              <w:jc w:val="center"/>
              <w:rPr>
                <w:rFonts w:ascii="宋体" w:hAnsi="宋体" w:cs="Arial"/>
                <w:color w:val="000000"/>
                <w:kern w:val="0"/>
                <w:szCs w:val="21"/>
                <w:highlight w:val="none"/>
              </w:rPr>
            </w:pP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穿多芯软导线 RVVSP-2*2.5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331.429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双绞线缆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(1)ACT6</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(2)双绞线缆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(3)管内穿放</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(4)4对</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双绞线缆(管内穿放 ≤4对) ACT6</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光缆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(1)单模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(2)光缆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(3)管内穿放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(4)6芯</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353.860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光缆管内穿放 6芯单模</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353.860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设备基础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(1)600*600*800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(2)C20混凝土</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C20混凝土(设备基础) 600*600*800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搅拌机拌制混凝土调整费</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铁构件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(2)地脚螺栓</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kg</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221.728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基础制作(地脚螺栓安装)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t</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人（手）孔井</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(1)铸铁盖</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(2)500*500*800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座</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24.000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电缆井设置(砖砌井 矩形)500*500*800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勾缝及抹灰(砖墙 抹灰 井内侧)</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电缆井设置(井盖安装(套) 铸铁盖、座)</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管沟土方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(1)三类</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(2)公称直径50mm</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(3)0.7m深</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(4)原土回填</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147.344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管道挖土方(管道挖填土方 管道公称直径50mm以内0.7m深)</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147.344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(1)球型摄像机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(2)200万像素 带红外</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(3)室外</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监控摄像设备(球型摄像机 室外) 200万像素 带红外</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(1)枪型摄像机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(2)200万像素 带红外</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(3)室外</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监控摄像设备(枪型摄像机 带定焦镜头) 200万像素 带红外</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监控摄像设备(摄像机支架 悬挂式)</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(1)半球型摄像机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(2)200万像素 带红外</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(3)室外</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监控摄像设备(半球型摄像机)200万像素 带红外</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监控摄像设备(摄像机支架 悬挂式)</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(1)监控设备立杆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(2)不锈钢 3.5米</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监控摄像设备(监控设备立杆 杆长≤4m) 不锈钢 3.5米</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根</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监控摄像设备(监控设备立杆 接地钢结构制作(t))</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基</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(1)监控设备立杆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(2)不锈钢 5米</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监控摄像设备(监控设备立杆 杆长≤6m)不锈钢 5米</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根</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监控摄像设备(监控设备立杆 接地钢结构制作(t))</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基</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(1)电源</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(2)明装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监控摄像设备(电源)</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光电转换器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(1)光端发送机</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(2)光电转换</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台/套</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光电转换器(光端发送机)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光电转换器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(1)光端接收机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(2)光电转换</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光电转换器(光端接收机)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分线接线箱(盒)</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(2)前端电源箱</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(3)明装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前端电源箱安装接线箱</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避雷器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(1)模块式电涌保护器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(2)雷电流通量(8/20μsⅡ类试验)220V ≥10kA)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组</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模块式电涌保护器安装(分配电箱电涌保护器 雷电流通量(8/20μsⅡ类试验)220V ≥10kA)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机柜、机架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w:t>
            </w:r>
            <w:r>
              <w:rPr>
                <w:rFonts w:hint="eastAsia" w:ascii="宋体" w:hAnsi="宋体" w:cs="Arial"/>
                <w:color w:val="000000"/>
                <w:kern w:val="0"/>
                <w:szCs w:val="21"/>
                <w:highlight w:val="none"/>
              </w:rPr>
              <w:t>19</w:t>
            </w:r>
            <w:r>
              <w:rPr>
                <w:rFonts w:hint="eastAsia" w:ascii="宋体" w:hAnsi="宋体" w:cs="Arial"/>
                <w:color w:val="000000"/>
                <w:kern w:val="0"/>
                <w:szCs w:val="21"/>
                <w:highlight w:val="none"/>
              </w:rPr>
              <w:t>U</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(3)机柜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(4)明装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安装机柜、机架(落地式)</w:t>
            </w:r>
            <w:r>
              <w:rPr>
                <w:rFonts w:hint="eastAsia" w:ascii="宋体" w:hAnsi="宋体" w:cs="Arial"/>
                <w:color w:val="000000"/>
                <w:kern w:val="0"/>
                <w:szCs w:val="21"/>
                <w:highlight w:val="none"/>
              </w:rPr>
              <w:t>19U</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UPS不间断电源设备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(1)UPS安装3KVA ,1H</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UPS安装3KVA ,1H</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交换机</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(1)监控交换机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(2)1对光口 12个RJ45口</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台/套</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监控交换机设备安装 1对光口 12个RJ45口</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监控计算机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(1)监控计算机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网桥、服务器、调制解调器设备安装、调试(监控计算机)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显示设备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 摆放式 21"</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(2)显示器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显示器、监视器设备(显示器、监视器 摆放式 21")</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服务器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 2U</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(2)管理服务器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管理服务器 2U</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录像、记录、存储设备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(1)32路NVR</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(2)硬盘录像机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录像设备(硬盘录像机 32路NVR)</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录像、记录、存储设备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(1)16路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(2)硬盘录像机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录像设备(硬盘录像机 ≤16路)</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存储设备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(1)4TB</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(2)硬盘</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磁盘阵列机、光盘库安装、调试(硬盘(块))4TB</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软件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(1)Historian Client</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(2)数据库应用软件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专业应用软件安装、调试(管理平台软件)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安全防范分系统调试</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(1)安全防范分系统调试(电视监控系统 ＜30台，每1台)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系统</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安全防范分系统调试(电视监控系统 ＜30台，每1台)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系统</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电子围栏</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键盘控制器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(1)键盘控制器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键盘控制器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38.2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键盘控制器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网络模块</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(1)网络模块</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(2)室外</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39.1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网络模块</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总线联动板</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(1)总线联动板</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(2)箱内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总线联动板</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40.2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总线联动板</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41</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电源适配器</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(1) 自带蓄电池 可工作8小时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(2)电源适配器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电源适配器安装 自带蓄电池 可工作8小时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报警控制主机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(1)报警控制主机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(2)悬挂嵌入式</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报警控制主机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42.2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报警控制主机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双回路总线驱动器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(1)双回路总线驱动器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(2)箱内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双回路总线驱动器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入侵报警控制器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(1)高压脉冲周界主机双防</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(2)室外</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入侵探测器(高压脉冲周界主机)双防</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入侵报警控制器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(1)高压脉冲周界主机单防</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(2)室外</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入侵探测器(高压脉冲周界主机)单防</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入侵探测设备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(1)电子围栏</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入侵探测器(电子围栏(延长米))</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入侵探测器(探测器支架安装)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避雷器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(1)模块式电涌保护器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(2)雷电流通量(8/20μsⅡ类试验)220V ≥10kA)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组</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模块式电涌保护器安装(分配电箱电涌保护器 雷电流通量(8/20μsⅡ类试验)220V ≥10kA)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电子围栏警示牌</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(1)电子围栏警示牌</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电子围栏警示牌安装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组</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48.2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电子围栏警示牌安装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总线式双防区模块</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(1)入侵报警控制器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(2)总线式双防区模块</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49.1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入侵报警控制器(总线式双防区模块)</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总线式单防区模块</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(1)入侵报警控制器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(2)总线式单防区模块</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入侵报警控制器(总线式单防区模块)</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入侵报警控制器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(1)主动红外探测器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(2)室外</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入侵探测器(主动红外探测器(对))</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安全防范全系统调试</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(1)安全防范分系统调试(入侵报警系统17点)</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系统</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安全防范分系统调试(入侵报警系统 ≤30点)</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系统</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52.2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安全防范分系统调试(入侵报警系统 ＜20点，每1个点)</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系统</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191" w:type="dxa"/>
            <w:gridSpan w:val="5"/>
            <w:shd w:val="clear" w:color="auto" w:fill="auto"/>
            <w:vAlign w:val="center"/>
          </w:tcPr>
          <w:p>
            <w:pPr>
              <w:widowControl/>
              <w:jc w:val="center"/>
              <w:rPr>
                <w:rFonts w:ascii="宋体" w:hAnsi="宋体"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(2)公称直径≤25mm</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(3)穿线钢管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(4)明配</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131.010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RC砖、混凝土结构明配 公称直径≤25DN</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131.010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(2)公称直径≤32mm</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(3)穿线钢管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(4)明配</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RC砖、混凝土结构明配 公称直径≤32DN</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(2)公称直径≤100mm</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(3)穿线钢管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(4)明配</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RC砖、混凝土结构明配 公称直径≤100DN</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56</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(2)公称直径≤25DN</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(3)穿线钢管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(4)埋地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1351.690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RC埋地敷设 公称直径≤25DN</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1351.690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(2)公称直径≤32DN</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(3)穿线钢管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(4)埋地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461.750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RC埋地敷设 公称直径≤32DN</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461.750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(2)公称直径≤65DN</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(3)穿线钢管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(4)埋地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RC埋地敷设 公称直径≤65DN</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(2)公称直径≤100DN</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(3)穿线钢管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(4)埋地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59.1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RC埋地敷设 公称直径≤100DN</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配管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(2)公称直径≤125DN</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(3)穿线钢管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(4)埋地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RC埋地敷设 公称直径≤125DN</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61</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桥架</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(1)不锈钢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(2)200*100mm</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(3)槽式桥架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15.510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钢制桥架安装(不锈钢制槽式桥架200*100mm)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桥架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(1)不锈钢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(2)150*75mm</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(3)槽式桥架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钢制桥架安装(不锈钢制槽式桥架150*75mm)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铁构件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(1)电缆桥架支撑架制作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(2)电缆桥架支撑架安装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kg</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电缆桥架支撑架制作</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t</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63.2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电缆桥架支撑架安装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t</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人（手）孔井</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(1)600*600*600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(2)C20混凝土</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座</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电缆井设置(砖砌井 矩形)600*600*600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64.2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勾缝及抹灰(砖墙 抹灰 井内侧)</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64.3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电缆井设置(井盖安装(套) 铸铁盖、座)</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人（手）孔井</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(1)1200*900*1100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(2)C20混凝土</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座</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65.1</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电缆井设置(砖砌井 矩形)1200*90</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0*1100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11.120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65.2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勾缝及抹灰(砖墙 抹灰 井内侧)</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65.3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电缆井设置(井盖安装(套) 铸铁盖、座)</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管沟土方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(1)三类</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(2)2m以内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(3)原土回填</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407.729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人工挖沟槽土方(三类土 槽深2m以内)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挖掘机挖一般土方(装车 三类土)</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387.343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回填方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(1)&gt;90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(2)回填沙</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回填工程(砂基础)</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67.2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回填工程(槽坑回填砂 人工摊铺夯实)</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354.688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余方弃置</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(1)废土</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(2)运距3km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407.729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自卸汽车运土(载重10t以内 运距3km)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407.729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69</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(2)4*185+1*95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76.000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室内铜芯电力电缆敷设YJV4*185+1*95 五芯电力电缆敷设 室外敷设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69.2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1KV以下室内干包式铜芯电力电缆(电缆截面≤240mm2) 五芯电力电缆头制作安装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(2)3*185+1*95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室内铜芯电力电缆敷设YJV3*185+1*95 室外敷设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70.2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1KV以下室内干包式铜芯电力电缆(电缆截面≤240mm2)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(2)4*25+1*16</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YJV4*25+1*16 五芯电力电缆敷设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71.2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1KV以下室内干包式铜芯电力电缆(电缆截面≤35mm2) 五芯电力电缆头制作安装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72</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(2)YJV5*16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16.000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YJV5*16 五芯电力电缆敷设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72.2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1KV以下室内干包式铜芯电力电缆(电缆截面≤16mm2) 五芯电力电缆头制作安装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(2)YJV5*10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YJV5*10 五芯电力电缆敷设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73.2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1KV以下室内干包式铜芯电力电缆(电缆截面≤16mm2) 五芯电力电缆头制作安装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(2)5*6</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YJV5*6 五芯电力电缆敷设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74.2</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电缆截面≤16mm2) 五芯电力电缆头制作安装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(2)3*6</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YJV3*6</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75.2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1KV以下室内干包式铜芯电力电缆(电缆截面≤16mm2)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(2)5*4</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YJV5*4 五芯电力电缆敷设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1KV以下室内干包式铜芯电力电缆(电缆截面≤16mm2)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(2)3*4</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YJV3*4</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77.2</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电缆截面≤16mm2)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(2)5*2.5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YJV5*2.5 五芯电力电缆敷设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78.2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1KV以下室内干包式铜芯电力电缆(电缆截面≤16mm2) 五芯电力电缆头制作安装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(2)4*2.5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YJV4*2.5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79.2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1KV以下室内干包式铜芯电力电缆(电缆截面≤16mm2)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(2)3*2.5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YJV3*2.5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80.2</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电缆截面≤16mm2)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(1)YJV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(2)3*2.5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(4)电力电缆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室内铜芯电力电缆敷设 漏氯报警电缆 （不计主材费）</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81.2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1KV以下室内干包式铜芯电力电缆(电缆截面≤16mm2)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 KVV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(2)2*1.5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室内铜芯控制电缆敷设 KVV2*1.5 室外敷设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82.2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控制电缆终端头制作安装(电缆芯数≤6芯)</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 KVV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(2)5*1.5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83.1</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室内铜芯控制电缆敷设 KVV5*1.5</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室外敷设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83.2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控制电缆终端头制作安装(电缆芯数≤6芯)</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 KVV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(2)8*1.5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室内铜芯控制电缆敷设 KVV8*1.5 室外敷设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84.2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控制电缆终端头制作安装(电缆芯数≤14芯)</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 KVV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(2)10*1.5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室内铜芯控制电缆敷设 KVV10*1.5 室外敷设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85.2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控制电缆终端头制作安装(电缆芯数≤14芯)</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 KVV</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(2)12*1.5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室内铜芯控制电缆敷设 KVV12*1.5 室外敷设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控制电缆终端头制作安装(电缆芯数≤14芯)</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(1)DZYP2VP2</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(2)2*1.0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室内铜芯控制电缆敷设DZYP2VP2-2*1.0 室外敷设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87.2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控制电缆终端头制作安装(电缆芯数≤6芯)</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(1)DZYP2VP2-2*1.0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(2)2*1.0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(3)铜芯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(4)控制电缆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(5)管内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室内铜芯控制电缆敷设电磁流量计逆变器电缆（不计主材) 室外敷设</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88.2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控制电缆终端头制作安装(电缆芯数≤6芯)</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光缆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(1)单模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(2)光缆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(3)管内穿放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(4)6芯</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89.1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光缆管内穿放 6芯单模</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操作员计算机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(1)操作员计算机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操作员计算机安装、调试</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工程师计算机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(1)工程师计算机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工程师计算机安装、调试</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服务器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(1)2U</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(2)管理服务器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网络设备安装试验(2U机架式主流服务器 )</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工业计算机外部设备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 摆放式55寸</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(2)液晶显示器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外部设备安装试验(55寸液晶显示器)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工业计算机外部设备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(1)46寸*4</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(2)LED显示屏</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工业电视(大屏幕组合显示墙) 46寸*4</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工业计算机外部设备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(1)打印机 台式</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外部设备安装试验(打印机 台式)</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UPS不间断电源设备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(1)UPS安装3KVA ,1H</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UPS安装3KVA ,1H</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光纤交换机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(1)监控交换机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(2)1对光口 12个RJ45口</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网络设备安装试验(交换机)1对光口 8个RJ45口</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软件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w:t>
            </w:r>
            <w:r>
              <w:rPr>
                <w:rFonts w:hint="eastAsia"/>
                <w:highlight w:val="none"/>
              </w:rPr>
              <w:t xml:space="preserve"> </w:t>
            </w:r>
            <w:r>
              <w:rPr>
                <w:rFonts w:hint="eastAsia" w:ascii="宋体" w:hAnsi="宋体" w:cs="Arial"/>
                <w:color w:val="000000"/>
                <w:kern w:val="0"/>
                <w:szCs w:val="21"/>
                <w:highlight w:val="none"/>
              </w:rPr>
              <w:t>开发+运行版  支持8192个外部变量 (RC 8192)</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(2)完整开发版组态软件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专业应用软件安装、调试(完整开发版组态软件) 开发+运行版  支持8192个外部变量 (RC 8192)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软件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w:t>
            </w:r>
            <w:r>
              <w:rPr>
                <w:rFonts w:hint="eastAsia"/>
                <w:highlight w:val="none"/>
              </w:rPr>
              <w:t xml:space="preserve"> </w:t>
            </w:r>
            <w:r>
              <w:rPr>
                <w:rFonts w:hint="eastAsia" w:ascii="宋体" w:hAnsi="宋体" w:cs="Arial"/>
                <w:color w:val="000000"/>
                <w:kern w:val="0"/>
                <w:szCs w:val="21"/>
                <w:highlight w:val="none"/>
              </w:rPr>
              <w:t xml:space="preserve">运行版  支持8192个外部变量 (RT 8192)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(2)运行版组态软件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99.1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专业应用软件安装、调试(运行版组态软件)</w:t>
            </w:r>
            <w:r>
              <w:rPr>
                <w:rFonts w:hint="eastAsia"/>
                <w:highlight w:val="none"/>
              </w:rPr>
              <w:t xml:space="preserve"> </w:t>
            </w:r>
            <w:r>
              <w:rPr>
                <w:rFonts w:hint="eastAsia" w:ascii="宋体" w:hAnsi="宋体" w:cs="Arial"/>
                <w:color w:val="000000"/>
                <w:kern w:val="0"/>
                <w:szCs w:val="21"/>
                <w:highlight w:val="none"/>
              </w:rPr>
              <w:t xml:space="preserve">运行版  支持8192个外部变量 (RT 8192)  </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软件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(1)开发包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(2)组态软件应用软件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专业应用软件安装、调试(组态软件应用软件)开发包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软件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(1)Historian，5000点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(2)数据库平台软件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专业应用软件安装、调试(数据库平台软件)Historian，5000点</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102</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软件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(1)开发包</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(2)数据库应用软件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专业应用软件安装、调试(数据库应用软件)开发包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软件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(1)Historian Client</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(2)数据库应用软件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专业应用软件安装、调试(数据库应用软件)Historian Client</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软件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(1)开发包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(2)报表应用软件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专业应用软件安装、调试(报表应用软件)开发包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软件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(1)windows10 Pro 中文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(2)操作系统</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专业应用软件安装、调试(操作系统)windows10 Pro 中文</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软件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(1)Office</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(2)办公软件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专业应用软件安装、调试(办公软件 )Office</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机柜、机架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(1)15U</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(2)管理服务器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计算机柜、台设备安装(标准机柜)15U</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工业计算机系统调试</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(1)计算机系统硬件检查试验(工控计算机)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点</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计算机系统硬件检查试验(工控计算机)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离心泵控制柜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(1)830*700*2200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(2)离心泵控制柜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(3)PO1A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109.1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离心泵控制柜安装 PO1A  830*700*2200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离心泵控制柜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(1)830*700*2200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(2)离心泵控制柜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(3)PO2A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离心泵控制柜安装 PO2A  830*700*2200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离心泵控制柜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(1)830*700*2200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(2)离心泵控制柜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(3)QP1A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离心泵控制柜安装 QP1A  830*700*2200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控制箱</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(1)250*200*300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(2)离心泵现场控制箱</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 PO1A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离心泵现场控制箱安装 PO1A  250*200*300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控制箱</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(1)250*200*300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(2)离心泵现场控制箱</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(3)PO2A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离心泵现场控制箱安装 PO2A  250*200*300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控制箱</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(1)250*200*300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(2)离心泵现场控制箱</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(3)QP1A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离心泵现场控制箱安装 QP1A  250*200*300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泵房PLC控制柜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(1)600*600*2200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(2)泵房PLC控制柜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(3)QP1A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泵房PLC控制柜安装 QP1A 600*600*2200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控制箱</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 500*300*600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(2)潜水泵控制箱</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潜水泵控制箱安装  500*300*600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变送单元仪表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(1)压力变送器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(2)0-1.6mpa，IP65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变送仪表(压力变送器)0-1.6mpa，IP65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变送单元仪表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(1)压力变送器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(2)0-1.6mpa，IP68</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变送仪表(压力变送器)0-1.6mpa，IP68</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控制柜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(1)600*600*2200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(2)加药控制柜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(3)2JYA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119.1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加药控制柜安装 2JYA 600*600*2200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余氯分析仪</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(1)余氯分析</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(2)测量范围:0~5mg/L</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水处理在线监测系统(余氯分析)测量范围:0~5mg/L</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氯气漏氯报警仪</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(1)氯气漏氯报警仪</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(2)测量范围:0.00~10PPM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水处理在线监测系统(氯气漏氯报警仪)量程：0.00~10PPM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二氧化氯控制箱</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(1)二氧化氯消毒控制箱</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二氧化氯消毒控制箱安装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123</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加药PLC柜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(1)600*600*2200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(2)加药PLC柜</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(3)2PLC</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加药PLC柜安装 2PLC 600*600*2200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加药控制柜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(1)600*600*2200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(2)加药控制柜</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加药控制柜安装  600*600*2200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UPS不间断电源柜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(1)UPS不间断电源柜安装3KVA ,1H</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UPS不间断电源柜安装3KVA ,1H</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浊度仪</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(1)浊度仪</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(2)测量范围:0-9999NTU</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水处理在线监测系统(浊度仪)0-9999NTU 含仪表箱</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浊度仪</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(1)浊度仪</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(2)测量范围:0-100NTU</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水处理在线监测系统(浊度仪)0-100NTU 含仪表箱</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流量仪表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(1)流量变送器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(2)2FIT1 DN500，PN=1.0MPa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变送仪表(流量变送器)2FIT1 DN500，PN=1.0MPa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128.2</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传感器(电磁流量计)2FE1 输出信</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号4~20mA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流量仪表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(1)流量变送器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(2)2FIT2 DN600，PN=1.0MPa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变送仪表(流量变送器)2FIT2 DN600，PN=1.0MPa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129.2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传感器(电磁流量计)2FE2 输出信号4~20mA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流量仪表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(1)流量计控制器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(2)2FIT11 DN25(一体式),PN=1.6MPa,带MODBUS通讯接</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流量计控制器安装 2FIT11 DN25(一体式),PN=1.6MPa,带MODBUS通讯接</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物位检测仪表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(1)超声波液位计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(2)2LIT1、2  0-5m(一体式),IP65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物位检测仪表(超声波液位计)2LIT1、2  0-5m(一体式),IP65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物位检测仪表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(1)超声波液位计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(2)2LIT1、2  0-5m(一体式),IP65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物位检测仪表(超声波液位计)2LIT3-6  0-2m(一体式),IP65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133</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反冲洗累计仪变送器</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(1)反冲洗累计仪变送器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(2)4FIQ1-4 输出信号4~20mA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变送仪表(反冲洗累计仪变送器)4FIQ1-4 输出信号4~20mA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191" w:type="dxa"/>
            <w:gridSpan w:val="5"/>
            <w:shd w:val="clear" w:color="auto" w:fill="auto"/>
            <w:vAlign w:val="center"/>
          </w:tcPr>
          <w:p>
            <w:pPr>
              <w:widowControl/>
              <w:jc w:val="center"/>
              <w:rPr>
                <w:rFonts w:ascii="宋体" w:hAnsi="宋体"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拆除潜水泵</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(1)电机功率3KW</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(2)拆除潜水泵</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拆除潜水泵(潜水泵安装 电机功率3KW)</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拆除铸铁镶铜方形闸门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(1)长×宽1000×1000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(2)拆除铸铁镶铜方形闸门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座(t)</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拆除铸铁镶铜方形闸门(长×宽1000×1000以内)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座</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拆除集水井混凝土盖板</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(1)5000×2100mm</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(2)拆除集水井混凝土盖板</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拆除集水井混凝土盖板 5000×2100mm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拆除手动蝶阀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(1)称直径300mm以内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(2)拆除手动蝶阀</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拆除手动蝶阀 公称直径300mm以内)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139</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拆除手动蝶阀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(1)称直径350mm以内</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(2)拆除手动蝶阀</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139.1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拆除手动蝶阀 公称直径350mm以内)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拆除静音式止回阀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(1)称直径300mm以内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(2)拆除静音式止回阀</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拆除静音式止回阀 公称直径300mm以内)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管道拆除</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(1)钢管       管径 De530×8</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拆除金属管道 人工拆除 管径 De530×8</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管道拆除</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(1)钢管       管径 De325×6</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拆除金属管道 人工拆除 管径 De325×6</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拆除双法兰伸缩传力接头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(1)称直径300mm以内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(2)拆除双法兰伸缩传力接头</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拆除双法兰伸缩传力接头 公称直径300mm以内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拆除双法兰伸缩传力接头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(1)称直径350mm以内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(2)拆除双法兰伸缩传力接头</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拆除双法兰伸缩传力接头 公称直径350mm以内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145</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拆除偏心异径管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(1)公称直径350*200</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(2)拆除偏心异径管</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拆除偏心异径管 公称直径350*200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拆除同心异径管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(1)公称直径300*150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(2)拆除同心异径管</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拆除同心异径管 公称直径300*150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拆除异径三通</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(1)公称直径500-300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(2)拆除异径三通</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拆除异径三通 公称直径500-300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拆除90°弯头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(1)公称直径300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(2)拆除90°弯头</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拆除90°弯头 公称直径300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(1)公称直径500mm以内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(2)拆除法兰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副/片</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149.1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拆除法兰 公称直径500mm以内)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(1)公称直径350mm以内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(2)拆除法兰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副/片</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拆除法兰 公称直径350mm以内)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(1)公称直径300mm以内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(2)拆除法兰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副/片</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拆除法兰 公称直径300mm以内)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(1)公称直径150mm以内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(2)拆除法兰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副/片</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拆除法兰 公称直径150mm以内)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(1)公称直径200mm以内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(2)拆除法兰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副/片</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拆除法兰 公称直径200mm以内)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拆除法兰盲板</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(1)公称直径500mm以内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(2)拆除法兰盲板</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拆除法兰盲板 公称直径500mm以内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分部小计</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新增</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地面操作砖砌圆形立式蝶阀井</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(1)C20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(2)M7.5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(3)240×115×53 MU10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(4)普通铸铁 dn1800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座</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排水井垫层(混凝土)</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砌筑井壁(砖砌井壁 圆形)D1800×2750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156.3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混凝土(无梁板)</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156.4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现浇构件圆钢筋HPB300以内(直径12-18mm)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t</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156.5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搅拌机拌制混凝土调整费</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156.6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勾缝及抹灰(砖墙 抹灰 井内侧)</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156.7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勾缝及抹灰(砖墙 抹灰 井底)</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156.8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井盖、井箅安装(检查井井盖、座 普通铸铁)</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地面操作砖砌圆形立式蝶阀井</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(1)C20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(2)M7.5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(3)240×115×53 MU10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(4)普通铸铁 dn1200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座</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排水井垫层(混凝土)</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157.2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砌筑井壁(砖砌井壁 圆形)D1200×1750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157.3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混凝土(无梁板)</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157.4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现浇构件圆钢筋HPB300以内(直径12-18mm)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t</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157.5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搅拌机拌制混凝土调整费</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157.6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勾缝及抹灰(砖墙 抹灰 井内侧)</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157.7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勾缝及抹灰(砖墙 抹灰 井底)</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157.8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井盖、井箅安装(检查井井盖、座 普通铸铁)</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玻璃钢盖板</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(1)集水井玻璃钢盖板 5000×2100mm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集水井玻璃钢盖板 5000×2100mm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铸铁镶铜方形闸门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(1)铸铁镶铜</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(2)长×宽1000×1000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(3)铸铁镶铜方形闸门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座(t)</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159.1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铸铁镶铜方形闸门(长×宽1000×1000以内)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座</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双法兰电动蝶阀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(1)双法兰电动蝶阀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(3)DN300 D343X，PN1.6MPa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双法兰电动蝶阀 DN300 D343X，PN1.6MPa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161</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双法兰电动蝶阀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(1)双法兰电动蝶阀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(2)法兰</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(3)DN350 D343X，PN1.6Mpa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双法兰电动蝶阀 DN350 D343X，PN1.6Mpa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限位伸缩节</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(1)限位伸缩节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(2)DN300 VSSJA-2，Pn=1.6Mpa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限位伸缩节 DN300 VSSJA-2，Pn=1.6Mpa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限位伸缩节</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(1)限位伸缩节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(2)DN350 VSSJA-2，Pn=1.6Mpa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限位伸缩节 DN350 VSSJA-2，Pn=1.6Mpa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多功能水泵控制阀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(1)多功能水泵控制阀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(3)DN300，JD754X，PN1.6Mpa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多功能水泵控制阀 DN300，JD754X，PN1.6Mpa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低压碳钢管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De508×9.5，PN1.6Mpa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(3)电弧焊</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(4)气压试验、空气吹扫</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低压管道 碳钢管(电弧焊) De508×9.5，PN1.6Mpa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165.2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管道压力试验(低中压管道气压试验 公称直径500mm以内)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165.3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管道系统吹扫(空气吹扫 公称直径500mm以内)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低压碳钢管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(2)De325×9.5，PN1.6Mpa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(3)电弧焊</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(4)气压试验、空气吹扫</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低压管道 碳钢管(电弧焊) De325×9.5，PN1.6Mpa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管道压力试验(低中压管道气压试验 公称直径400mm以内)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166.3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管道系统吹扫(空气吹扫 公称直径400mm以内)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偏心异径管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(1)偏心异径管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(2)DN350X200，PN1.6Mpa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偏心异径管 DN350X200，PN1.6Mpa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同心异径管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(1)同心异径管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DN300X150，PN1.6Mpa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同心异径管 DN300X150，PN1.6Mpa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异径三通</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(1)异径三通</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DN500-300，PN1.6Mpa，含法兰盘</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169.1</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异径三通 DN500-300，PN1.6Mpa</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，含法兰盘</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90°弯头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(1)90°弯头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DN300，PN1.6Mpa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90°弯头 DN300，PN1.6Mpa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(3)DN500，PN1.6Mpa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副/片</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 DN500，PN1.6Mpa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(3)DN350，PN1.6Mpa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副/片</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 DN350，PN1.6Mpa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(3)DN300，PN1.6Mpa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副/片</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 DN300，PN1.6Mpa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(3)DN150，PN1.6Mpa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副/片</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 DN150，PN1.6Mpa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(3)DN200，PN1.6Mpa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副/片</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 DN200，PN1.6Mpa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法兰盲板</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(1)法兰盲板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(2)DN500，PN1.6Mpa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法兰盲板 DN500，PN1.6Mpa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限位伸缩节</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(1)限位伸缩节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DN500 VSSJA-2，Pn=1.6Mpa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限位伸缩节 DN500 VSSJA-2，Pn=1.6Mpa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刚性防水套管A型制作安装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(2)DN500，L=240mm</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(3)刚性防水套管A型</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刚性防水套管A型制作(公称直径500mm以内)DN500，L=240mm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178.2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刚性防水套管A型安装(公称直径500mm以内)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179</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刚性防水套管A型制作安装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(2)200mm以内)DN200，L=240mm</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(3)刚性防水套管A型</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刚性防水套管A型制作(公称直径200mm以内)DN200，L=240mm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179.2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刚性防水套管A型安装(公称直径200mm以内)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混凝土支墩</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(1)C20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(2)100米</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管道支墩(挡墩)(每处1m3以内)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手动蝶阀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(1)手动蝶阀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(3)DN500 D341X，PN1.6MPa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手动蝶阀 DN500 D341X，PN1.6MPa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手动蝶阀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(1)手动蝶阀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(3)DN200 D341X，PN1.6MPa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手动蝶阀 DN200 D341X，PN1.6MPa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压力仪表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(1)压力表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压力仪表(压力表 就地)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183.2</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仪表阀门安装与研磨(内螺纹阀门</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不锈钢)</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183.3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取源部件制作安装(压力表弯安装)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启闭机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(1)启闭机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(2)启闭力1T， 丝杆直径d32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启闭机 启闭力1T， 丝杆直径d32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限位伸缩节</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(1)限位伸缩节</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(2)DN200 VSSJA-2，Pn=1.6Mpa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限位伸缩节 DN200 VSSJA-2，Pn=1.6Mpa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异径三通</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(1)异径三通</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(2)DN500-200，PN1.6Mpa，含法兰盘</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异径三通 DN500-200，PN1.6Mpa，含法兰盘</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低压碳钢管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(2)De219×8，PN1.6Mpa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(3)电弧焊</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(4)气压试验、空气吹扫</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低压管道 碳钢管(电弧焊) De219×8，PN1.6Mpa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187.2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管道压力试验(低中压管道气压试验 公称直径200mm以内)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187.3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管道系统吹扫(空气吹扫 公称直径200mm以内)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塑料管</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室外PVC塑料排水管(粘接) 外径160mm以内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砖化粪池</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(1)C20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(2)M7.5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(3)240×115×53 MU10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(4)普通铸铁 dn700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座</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189.1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砖砌化粪池(国标02S701)(有地下水、不过汽车、有覆土型号1#(Z1-2SF) 有效容积2m3)</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座</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塑料管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(1)粘接</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(2)室外</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(3)污水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(4)PVC塑料 外径32mm以内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室外PVC塑料给水管(粘接) 外径32mm以内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塑料阀门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(1)公称直径32mm以内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(2)粘接</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塑料PVC阀门安装(粘接)(公称直径32mm以内)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止回阀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(1)螺纹止回阀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螺纹止回阀安装(公称直径32mm以内)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钢制排水漏斗制作安装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(1)吸水喇叭口</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(2)吸水管外径×壁厚 (325×6mm)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吸水喇叭口及支架制作、安装(吸水管外径×壁厚 (325×6mm))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管道防腐蚀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(1)SA2.5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(2)沥青玻璃布</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(3)四油一布</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142.591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动力工具除锈(管道 轻锈) SA2.5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142.591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194.2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氯化橡胶类厚浆型防锈漆(氯化橡胶铁红厚浆型 管道 第二 遍)</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194.3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管道沥青玻璃布防腐(四油)</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59.866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194.4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管道沥青玻璃布防腐(一布)</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59.866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管道喷镀(涂)</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(1)SA2.5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(2)水泥砂浆内喷涂</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71.296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水泥砂浆内喷涂(管道 DN700-800)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71.296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挖沟槽土方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(1)三类土</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(2)2m以内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111.478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196.1</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人工挖沟槽土方(三类土 槽深2m以</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5.574</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挖掘机挖一般土方(不装车 三类土)</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196.3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挖掘机挖一般土方(装车 三类土)</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回填方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(1)回填工程(机械松填土)</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106.098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回填工程(机械松填土)</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106.098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余方弃置</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(1)废土</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(2)运距3km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自卸汽车运土(载重10t以内 运距3km以内)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199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排污泵</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潜水泵</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(1)Q=37m3/h，H=13mN=3kW</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(2)潜水泵</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潜水泵(Q=37m3/h，H=13mN=3kW，2台，一用一备)</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200.2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潜污泵控制柜</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镀锌钢管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(1)公称直径65mm以内)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(2)螺纹连接</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(3)室内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(4)污水</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201.1</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室内(镀锌钢管(螺纹连接) 公称直</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径65mm以内)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3.300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镀锌钢管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(1)公称直径80mm以内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(2)螺纹连接</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(3)室内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(4)污水</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室内(镀锌钢管(螺纹连接) 公称直径80mm以内)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沟槽阀门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(1)沟槽</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(2)沟槽阀门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(3)公称直径65mm以内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沟槽阀门(公称直径65mm以内)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沟槽止回阀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(1)沟槽</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(2)沟槽止回阀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(3)公称直径65mm以内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沟槽止回阀(公称直径65mm以内)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压力仪表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(1)压力表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压力仪表(压力表 就地)</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205.2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仪表阀门安装与研磨(内螺纹阀门 不锈钢)</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205.3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取源部件制作安装(压力表弯安装)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管道支架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(1)角钢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(2)管道支架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kg(套)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管道支架制作(单件重量100kg以内)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kg</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管道支架安装(单件重量100kg以内)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kg</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离心式泵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(1)取水泵房离心泵  Q=480m3/h,H=103m，P=220KW</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变频电机(设备重量10t以内)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207.2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取水泵房离心泵（含变频电机）  Q=480m3/h,H=103m，P=220KW</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厂区变频加压设备</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(1)箱式变频设备 Q=54m3/h,H=20m，N=6.0KW</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取水泵房离心泵  Q=480m3/h,H=103m，P=220KW</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208.2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箱式变频设备 Q=54m3/h,H=20m，N=6.0KW</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191" w:type="dxa"/>
            <w:gridSpan w:val="5"/>
            <w:shd w:val="clear" w:color="auto" w:fill="auto"/>
            <w:vAlign w:val="center"/>
          </w:tcPr>
          <w:p>
            <w:pPr>
              <w:widowControl/>
              <w:jc w:val="center"/>
              <w:rPr>
                <w:rFonts w:ascii="宋体" w:hAnsi="宋体"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机械隔膜计量泵</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(1)Q=176L/h，N=0.37KW</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(2)机械隔膜计量泵</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209.1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隔膜计量泵机械隔膜计量泵 Q=176L/h，N=0.37KW</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210</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机械隔膜计量泵</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(1)Q=10L/h，N=65w</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(2)机械隔膜计量泵</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机械隔膜计量泵 Q=10L/h，N=65w</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背压阀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(1)螺纹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(2)背压阀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(3)公称直径32mm以内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背压阀 公称直径32mm以内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安全溢流阀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(1)螺纹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(2)安全溢流阀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(3)公称直径32mm以内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安全溢流阀 公称直径32mm以内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匀流器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(1)公称直径32mm以内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(2)匀流器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匀流器 公称直径32mm以内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鼓风机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(1)Q=2.4m3/min，P=7.5kw</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(2)鼓风机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鼓风机 Q=2.4m3/min，P=7.5kw，2 台，1用1备</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215</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耐腐蚀液下泵</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(1)Q=3.6m3/h，H＝16.0m，N=1.5</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KW</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(2)耐腐蚀液下泵</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耐腐蚀液下泵 Q=3.6m3/h，H＝16.0m，N=1.5KW，2用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轴流风机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(1)Q=1864m3/h，全压169pa，N=0.18kw</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(2)轴流风机</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轴流通风机Q=1864m3/h，全压169pa，N=0.18kw</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轴流风机</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(1)Q=1356m3/h，H=152Pa，N=0.18kW</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(2)轴流风机（防爆型）</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轴流风机（防爆型） Q=1356m3/h，H=152Pa，N=0.18kW</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灭火器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(1)磷酸铵盐干粉灭火器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(2)手提式</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具/组</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磷酸铵盐干粉灭火器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具</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冲洗装置</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(1)公称直径32mm以内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(2)应急水冲淋设备</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219.1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应急水冲淋设备</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220</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水射器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(1)公称直径32mm以内</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(2)水射器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水射器(公称直径 DN32mm以内)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自动喷头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(1)De32，Pn=1.0MPa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(2)自动喷头 配套一电动球阀</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自动喷头 配套一电动球阀，De32，Pn=1.0MPa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221.2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电动球阀 De32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冲洗装置</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(1)De32</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(2)复合型紧急冲淋洗眼器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复合型紧急冲淋洗眼器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溶氯桶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(1)500L，D=1.4m，H=1.8m</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(2)溶氯桶</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溶氯桶 500L，D=1.4m，H=1.8m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台</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(1)PE塑料</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(2)De63，Pn=1.6MPa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(3)热熔连接</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室外PE塑料给水管(热熔连接) De63，Pn=1.6MPa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225</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(1)PVC给水管</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(2)De25，Pn=1.6MPa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(3)承插粘接</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18.000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PVC给水管(承插粘接) De25，Pn=1.6MPa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225.2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管道系统吹扫(水冲洗 公称直径50mm以内)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225.3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管道压力试验(低中压管道液压试验 公称直径50mm以内)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(1)PVC给水管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(2)De32，Pn=1.6MPa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(3)承插粘接</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PVC给水管(承插粘接) De32，Pn=1.6MPa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管道系统吹扫(水冲洗 公称直径50mm以内)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226.3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管道系统吹扫(水冲洗 公称直径50mm以内)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(1)PVC给水管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(2)De50，Pn=1.6MPa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(3)承插粘接</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PVC给水管(承插粘接) De50，Pn=1.6MPa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227.2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管道系统吹扫(水冲洗 公称直径50mm以内)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227.3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管道系统吹扫(水冲洗 公称直径50mm以内)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(1)PVC给水管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(2)De110，Pn=1.6MPa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(3)承插粘接</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PVC给水管(承插粘接) De110，Pn=1.6MPa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228.2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管道压力试验(低中压管道液压试验 公称直径100mm以内)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228.3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管道系统吹扫(水冲洗 公称直径100mm以内)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(1)PVC排水管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(2)De25，Pn=1.6MPa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(3)承插粘接</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229.1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PVC排水管(承插粘接) De110，Pn=1.6MPa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低压碳钢管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(2)DN50，Pn=1.6MPa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(3)电弧焊</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(4)气压试验、空气吹扫</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低压管道 碳钢管(电弧焊) DN50，Pn=1.6MPa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230.2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管道压力试验(低中压管道气压试验 公称直径50mm以内)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230.3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管道系统吹扫(空气吹扫 公称直径50mm以内)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231</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低压塑料管件</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(1) De63，Pn=1.6MPa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(2)PE 90°弯头</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PE 90°弯头 (热熔) De63，Pn=1.6MPa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 De63，Pn=1.6MPa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(2)PE三通</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PE三通  (热熔) De63，Pn=1.6MPa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(1)De32，Pn=1.6MPa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PVC 90°弯头</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 PVC 90°弯头 (承插粘接) De32，Pn=1.6MPa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(1)De32，Pn=1.6MPa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PVC三通</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 PVC三通 (承插粘接) De32，Pn=1.6MPa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(1)De32，Pn=1.6MPa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PVC45°弯头</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 PVC45°弯头 (承插粘接) De32，Pn=1.6MPa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(1)De25，Pn=1.6MPa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PVC 90°弯头</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236.1</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 PVC 90°弯头 (承插粘接) De25</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(1)De25，Pn=1.6MPa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PVC三通</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 PVC三通 (承插粘接) De25，Pn=1.6MPa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(1)De110×De32，Pn=1.6MPa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PVC变径</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 PVC变径 (承插粘接) De110×De32，Pn=1.6MPa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(1)De110，Pn=1.6MPa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PVC90°弯头</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239.1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 PVC90°弯头 (承插粘接) De110，Pn=1.6MPa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(1)De110，Pn=1.6MPa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PVC三通</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 PVC三通 (承插粘接) De110，Pn=1.6MPa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(1)De50，Pn=1.6MPa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PVC三通</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 PVC三通 (承插粘接) De50，Pn=1.6MPa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242</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低压塑料管件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(1)De50，Pn=1.6MPa</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(2) PVC90°弯头</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 xml:space="preserve"> PVC90°弯头 (承插粘接) De50，Pn=1.6MPa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低压碳钢管件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(1)De50，Pn=1.6MPa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(2)钢制90°弯头</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钢制90°弯头  (电弧焊) De50，Pn=1.6MPa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低压碳钢管件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(1)De50，Pn=1.6MPa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(2)钢制三通</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钢制三通  (电弧焊) De50，Pn=1.6MPa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Y型过滤器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(1)螺纹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(2)Y型过滤器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(3)De32，Pn=1.6MPa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Y型过滤器 De32，Pn=1.6MPa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球阀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(1)螺纹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(2)球阀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(3)De32，Pn=1.6MPa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球阀 De32，Pn=1.6MPa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247</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球阀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(1)螺纹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(2)球阀</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(3)De25，Pn=1.6MPa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球阀 De25，Pn=1.6MPa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球阀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(1)螺纹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(2)球阀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(3)De50，Pn=1.6MPa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球阀 De50，Pn=1.6MPa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球阀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(1)螺纹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(2)球阀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(3)De63，Pn=1.6MPa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249.1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球阀 De63，Pn=1.6MPa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球阀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(1)螺纹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(2)球阀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(3)De50，Pn=1.6MPa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电动球阀 De50，Pn=1.6MPa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球阀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(1)螺纹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(2)球阀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(3)De100，Pn=1.6MPa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球阀 De110，Pn=1.6MPa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252</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截止阀</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(1)螺纹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(2)截止阀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(3)De63，Pn=1.6MPa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截止阀 De63，Pn=1.6MPa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截止阀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(1)螺纹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(2)防污隔断阀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(3)DN50，Pn=1.6MPa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防污隔断阀安装 DN50，Pn=1.6MPa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组</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限位伸缩器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(1)DN50，Pn=1.6MPa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(2)限位伸缩器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限位伸缩器安装DN50，Pn=1.6MPa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PVC内衬面积</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(1)PVC内衬</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(2)PVC</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PVC内衬面积安装(斜长2m以内)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管道防腐蚀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(1)SA2.5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(2)氯化橡胶铁红厚浆型</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(3)二遍</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9.075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动力工具除锈(管道 轻锈) SA2.5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9.075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256.2</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氯化橡胶类厚浆型防锈漆(氯化橡胶</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铁红厚浆型 管道 第二 遍)</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2.512</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管道喷镀(涂)</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(1)SA2.5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(2)水泥砂浆内喷涂</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水泥砂浆内喷涂(管道 DN700-800)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191" w:type="dxa"/>
            <w:gridSpan w:val="5"/>
            <w:shd w:val="clear" w:color="auto" w:fill="auto"/>
            <w:vAlign w:val="center"/>
          </w:tcPr>
          <w:p>
            <w:pPr>
              <w:widowControl/>
              <w:jc w:val="center"/>
              <w:rPr>
                <w:rFonts w:ascii="宋体" w:hAnsi="宋体"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拆除冲洗强度调节器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(1)D454×4</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(2)拆除冲洗强度调节器</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259.1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拆除冲洗强度调节器 D454×4</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双法兰直管拆除</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(1)钢管       管径 DN300，L=4000，PN1.0Mpa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拆除双法兰直管 人工拆除 管径 DN300，L=4000，PN1.0Mpa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拆除虹吸弯管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(1)DN300，δ=8mm，PN1.0Mpa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(2)拆除虹吸弯管</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拆除虹吸弯管 DN300，δ=8mm，PN1.0Mpa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拆除虹吸破坏斗</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(1)300X300X400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(2)拆除虹吸破坏斗</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拆除虹吸破坏斗 300X300X400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滤料拆除</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(1)滤料拆除(石英砂)厚800mm，d=0.5~1.0mm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滤料拆除(石英砂)厚800mm，d=0.5~1.0mm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滤料拆除</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(1)滤料拆除(石英砂)厚100mm，d=2~4mm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滤料拆除(石英砂)厚100mm，d=2~4mm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其他金属构件拆除</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(1)10#槽钢</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t</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拆除金属构件(拆除其它金属构件)10#槽钢</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t</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分部小计</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新增</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冲洗强度调节器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(1)冲洗强度调节器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D454×4</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冲洗强度调节器 D454×4</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低压碳钢管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(2)DN300，δ=8mm，L=4000，PN1.0Mpa</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(3)电弧焊</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(4)气压试验、空气吹扫</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268.1</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低压管道 碳钢管 DN300，δ=8mm</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，L=4000，PN1.0Mpa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16.000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268.2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管道压力试验(低中压管道气压试验 公称直径300mm以内)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268.3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管道系统吹扫(空气吹扫 公称直径300mm以内)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虹吸弯管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(1)虹吸弯管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(2)DN300，δ=8mm，PN1.0Mpa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269.1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虹吸弯管 DN300，δ=8mm，PN1.0Mpa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虹吸破坏斗</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(1)虹吸破坏斗</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(2)300X300X400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虹吸破坏斗 300X300X400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滤料铺设</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(1)石英砂</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(2)厚650mm，d=0.5~1.0mm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37.540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滤料铺设(石英砂)厚650mm，d=0.5~1.0mm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37.540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滤料铺设</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(1)石英砂</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(2)厚100mm，d=1~2mm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滤料铺设(石英砂)厚100mm，d=1~2mm</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m3</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5.780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273</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687" w:type="dxa"/>
            <w:shd w:val="clear" w:color="auto" w:fill="auto"/>
            <w:vAlign w:val="center"/>
          </w:tcPr>
          <w:p>
            <w:pPr>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(1)碳钢</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(2)法兰</w:t>
            </w:r>
          </w:p>
          <w:p>
            <w:pPr>
              <w:jc w:val="left"/>
              <w:rPr>
                <w:rFonts w:ascii="宋体" w:hAnsi="宋体" w:cs="Arial"/>
                <w:color w:val="000000"/>
                <w:kern w:val="0"/>
                <w:szCs w:val="21"/>
                <w:highlight w:val="none"/>
              </w:rPr>
            </w:pPr>
            <w:r>
              <w:rPr>
                <w:rFonts w:hint="eastAsia" w:ascii="宋体" w:hAnsi="宋体" w:cs="Arial"/>
                <w:color w:val="000000"/>
                <w:kern w:val="0"/>
                <w:szCs w:val="21"/>
                <w:highlight w:val="none"/>
              </w:rPr>
              <w:t>(3)DN300，PN1.6Mpa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副/片</w:t>
            </w:r>
          </w:p>
          <w:p>
            <w:pPr>
              <w:jc w:val="center"/>
              <w:rPr>
                <w:rFonts w:ascii="宋体" w:hAnsi="宋体" w:cs="Arial"/>
                <w:color w:val="000000"/>
                <w:kern w:val="0"/>
                <w:szCs w:val="21"/>
                <w:highlight w:val="none"/>
              </w:rPr>
            </w:pPr>
            <w:r>
              <w:rPr>
                <w:rFonts w:hint="eastAsia" w:ascii="宋体" w:hAnsi="宋体" w:cs="Arial"/>
                <w:color w:val="000000"/>
                <w:kern w:val="0"/>
                <w:szCs w:val="21"/>
                <w:highlight w:val="none"/>
              </w:rPr>
              <w:t>　</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p>
            <w:pPr>
              <w:jc w:val="right"/>
              <w:rPr>
                <w:rFonts w:ascii="宋体" w:hAnsi="宋体" w:cs="Arial"/>
                <w:color w:val="000000"/>
                <w:kern w:val="0"/>
                <w:szCs w:val="21"/>
                <w:highlight w:val="none"/>
              </w:rPr>
            </w:pPr>
            <w:r>
              <w:rPr>
                <w:rFonts w:hint="eastAsia" w:ascii="宋体" w:hAnsi="宋体" w:cs="Arial"/>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法兰 DN300，PN1.0MPa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副</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管架制作安装</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(1)管道支吊架制作安装(一般管架)L30*30</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(2)手工除锈(一般钢结构 轻锈)</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(3)一般钢结构(红丹防锈漆 第二遍)</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(4)一般钢结构(沥青漆 第二遍)</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kg</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管道支吊架制作安装(一般管架)L30*30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kg</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274.2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手工除锈(一般钢结构 轻锈)</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kg</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274.3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一般钢结构(红丹防锈漆 第二遍)</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kg</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274.4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一般钢结构(沥青漆 第二遍)</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kg</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84.480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虹吸滤池反冲洗监测装置</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(1)虹吸滤池反冲洗监测装置</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(2)DN40，PN1.0Mpa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水处理在线监测系统(虹吸滤池反冲洗监测装置)DN40，PN1.0Mpa</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套</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弯头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(1)弯头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DN40×90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弯头 (螺纹连接) DN40×90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弯头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(1)弯头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DN32×90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弯头 (螺纹连接) DN32×90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弯头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(1)弯头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DN20×90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弯头 (螺纹连接) DN20×90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279</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钢制管接头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(1)钢制管接头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(2)公称直径32mm以内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279.1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钢制管接头 (螺纹连接) 公称直径32mm以内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280</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内接头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(1)内接头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(2)DN40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280.1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内接头 (螺纹连接) DN40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三  通</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(1)三  通</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(2)DN40×40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281.1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三  通 (螺纹连接) DN40×40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活接头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(1)活接头</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(2)DN40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282.1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活接头 (螺纹连接) DN40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283</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异径管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(1)异径管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(2)DN40×50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283.1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异径管 (螺纹连接) DN40×50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284</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异径管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(1)异径管</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(2)DN40×20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284.1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异径管 (螺纹连接) DN40×20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285</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强制冲洗器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(1)强制冲洗器</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 DN32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285.1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强制冲洗器 (螺纹连接) DN32</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286</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闸  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(1)闸  阀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(2)螺纹</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(3)公称直径32mm以内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286.1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闸  阀 公称直径32mm以内)</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个</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287</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管道防腐蚀</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(1)SA2.5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(2)氯化橡胶铁红厚浆</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(3) 第二 遍</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m2(m)</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287.1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动力工具除锈(管道 轻锈) SA2.5</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30.144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287.2</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氯化橡胶类厚浆型防锈漆(氯化橡胶铁红厚浆型 管道 第二 遍)</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288</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管道喷镀(涂)</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(1)SA2.5</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(2)水泥砂浆内喷涂</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41"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288.1</w:t>
            </w:r>
          </w:p>
        </w:tc>
        <w:tc>
          <w:tcPr>
            <w:tcW w:w="687" w:type="dxa"/>
            <w:shd w:val="clear" w:color="auto" w:fill="auto"/>
            <w:vAlign w:val="center"/>
          </w:tcPr>
          <w:p>
            <w:pPr>
              <w:widowControl/>
              <w:jc w:val="left"/>
              <w:rPr>
                <w:rFonts w:ascii="宋体" w:hAnsi="宋体" w:cs="Arial"/>
                <w:color w:val="000000"/>
                <w:kern w:val="0"/>
                <w:szCs w:val="21"/>
                <w:highlight w:val="none"/>
              </w:rPr>
            </w:pPr>
          </w:p>
        </w:tc>
        <w:tc>
          <w:tcPr>
            <w:tcW w:w="5947" w:type="dxa"/>
            <w:shd w:val="clear" w:color="auto" w:fill="auto"/>
            <w:vAlign w:val="center"/>
          </w:tcPr>
          <w:p>
            <w:pPr>
              <w:widowControl/>
              <w:jc w:val="left"/>
              <w:rPr>
                <w:rFonts w:ascii="宋体" w:hAnsi="宋体" w:cs="Arial"/>
                <w:color w:val="000000"/>
                <w:kern w:val="0"/>
                <w:szCs w:val="21"/>
                <w:highlight w:val="none"/>
              </w:rPr>
            </w:pPr>
            <w:r>
              <w:rPr>
                <w:rFonts w:hint="eastAsia" w:ascii="宋体" w:hAnsi="宋体" w:cs="Arial"/>
                <w:color w:val="000000"/>
                <w:kern w:val="0"/>
                <w:szCs w:val="21"/>
                <w:highlight w:val="none"/>
              </w:rPr>
              <w:t>水泥砂浆内喷涂(管道 DN700-800)</w:t>
            </w:r>
          </w:p>
        </w:tc>
        <w:tc>
          <w:tcPr>
            <w:tcW w:w="789" w:type="dxa"/>
            <w:shd w:val="clear" w:color="auto" w:fill="auto"/>
            <w:vAlign w:val="center"/>
          </w:tcPr>
          <w:p>
            <w:pPr>
              <w:widowControl/>
              <w:jc w:val="center"/>
              <w:rPr>
                <w:rFonts w:ascii="宋体" w:hAnsi="宋体" w:cs="Arial"/>
                <w:color w:val="000000"/>
                <w:kern w:val="0"/>
                <w:szCs w:val="21"/>
                <w:highlight w:val="none"/>
              </w:rPr>
            </w:pPr>
            <w:r>
              <w:rPr>
                <w:rFonts w:hint="eastAsia" w:ascii="宋体" w:hAnsi="宋体" w:cs="Arial"/>
                <w:color w:val="000000"/>
                <w:kern w:val="0"/>
                <w:szCs w:val="21"/>
                <w:highlight w:val="none"/>
              </w:rPr>
              <w:t>m2</w:t>
            </w:r>
          </w:p>
        </w:tc>
        <w:tc>
          <w:tcPr>
            <w:tcW w:w="1027" w:type="dxa"/>
            <w:shd w:val="clear" w:color="auto" w:fill="auto"/>
            <w:vAlign w:val="center"/>
          </w:tcPr>
          <w:p>
            <w:pPr>
              <w:widowControl/>
              <w:jc w:val="right"/>
              <w:rPr>
                <w:rFonts w:ascii="宋体" w:hAnsi="宋体" w:cs="Arial"/>
                <w:color w:val="000000"/>
                <w:kern w:val="0"/>
                <w:szCs w:val="21"/>
                <w:highlight w:val="none"/>
              </w:rPr>
            </w:pPr>
            <w:r>
              <w:rPr>
                <w:rFonts w:hint="eastAsia" w:ascii="宋体" w:hAnsi="宋体" w:cs="Arial"/>
                <w:color w:val="000000"/>
                <w:kern w:val="0"/>
                <w:szCs w:val="21"/>
                <w:highlight w:val="none"/>
              </w:rPr>
              <w:t>15.072</w:t>
            </w:r>
          </w:p>
        </w:tc>
      </w:tr>
    </w:tbl>
    <w:p>
      <w:pPr>
        <w:pStyle w:val="20"/>
        <w:rPr>
          <w:rStyle w:val="38"/>
          <w:highlight w:val="none"/>
        </w:rPr>
      </w:pPr>
      <w:bookmarkStart w:id="42" w:name="_Toc30641"/>
      <w:bookmarkStart w:id="43" w:name="_Toc40254104"/>
    </w:p>
    <w:p>
      <w:pPr>
        <w:pStyle w:val="28"/>
        <w:spacing w:before="75" w:beforeAutospacing="0" w:after="75" w:afterAutospacing="0"/>
        <w:jc w:val="center"/>
        <w:outlineLvl w:val="1"/>
        <w:rPr>
          <w:rStyle w:val="38"/>
          <w:bCs w:val="0"/>
          <w:highlight w:val="none"/>
        </w:rPr>
      </w:pPr>
      <w:r>
        <w:rPr>
          <w:rStyle w:val="38"/>
          <w:rFonts w:hint="eastAsia"/>
          <w:highlight w:val="none"/>
        </w:rPr>
        <w:t>二、</w:t>
      </w:r>
      <w:r>
        <w:rPr>
          <w:rStyle w:val="38"/>
          <w:rFonts w:hint="eastAsia"/>
          <w:bCs w:val="0"/>
          <w:highlight w:val="none"/>
        </w:rPr>
        <w:t>一般技术要求</w:t>
      </w:r>
      <w:bookmarkEnd w:id="42"/>
      <w:bookmarkEnd w:id="43"/>
    </w:p>
    <w:p>
      <w:pPr>
        <w:pStyle w:val="7"/>
        <w:rPr>
          <w:rFonts w:ascii="宋体" w:hAnsi="宋体" w:cs="宋体"/>
          <w:sz w:val="24"/>
          <w:szCs w:val="24"/>
          <w:highlight w:val="none"/>
        </w:rPr>
      </w:pPr>
      <w:bookmarkStart w:id="44" w:name="_Toc353522431"/>
      <w:bookmarkStart w:id="45" w:name="_Toc27421"/>
      <w:bookmarkStart w:id="46" w:name="_Toc356336088"/>
      <w:bookmarkStart w:id="47" w:name="_Toc40254105"/>
      <w:r>
        <w:rPr>
          <w:rFonts w:hint="eastAsia" w:ascii="宋体" w:hAnsi="宋体" w:cs="宋体"/>
          <w:sz w:val="24"/>
          <w:szCs w:val="24"/>
          <w:highlight w:val="none"/>
        </w:rPr>
        <w:t>1、范围</w:t>
      </w:r>
      <w:bookmarkEnd w:id="44"/>
      <w:bookmarkEnd w:id="45"/>
      <w:bookmarkEnd w:id="46"/>
      <w:bookmarkEnd w:id="47"/>
    </w:p>
    <w:p>
      <w:pPr>
        <w:spacing w:line="440" w:lineRule="exact"/>
        <w:ind w:firstLine="480" w:firstLineChars="200"/>
        <w:rPr>
          <w:rFonts w:ascii="宋体" w:hAnsi="宋体" w:cs="宋体"/>
          <w:sz w:val="24"/>
          <w:highlight w:val="none"/>
        </w:rPr>
      </w:pPr>
      <w:r>
        <w:rPr>
          <w:rFonts w:hint="eastAsia" w:ascii="宋体" w:hAnsi="宋体" w:cs="宋体"/>
          <w:sz w:val="24"/>
          <w:highlight w:val="none"/>
        </w:rPr>
        <w:t>本项目涉及的仪表、低压电气自控设备及厂区视频监控工程范围，为永安市石墨和石墨烯产业园园区水厂技术提升改造工程设备采购与安装项目中的在线检测仪表、低压电气与自动控制系统。涉及的工程内容为低压电气设备、检测仪表、控制、厂区视频监控及自控通讯网络硬件和软件的提供、开发、安装、集成、调试及开车指导。具体包括以下内容（但不仅限于下列内容）：</w:t>
      </w:r>
    </w:p>
    <w:p>
      <w:pPr>
        <w:widowControl/>
        <w:numPr>
          <w:ilvl w:val="0"/>
          <w:numId w:val="10"/>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仪表、低压电气及自控设备的提供、安装和调试。</w:t>
      </w:r>
    </w:p>
    <w:p>
      <w:pPr>
        <w:widowControl/>
        <w:numPr>
          <w:ilvl w:val="0"/>
          <w:numId w:val="10"/>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中央控制室、设备现场控制柜（低压电气控制柜）、现场控制站、远程I/O站以及自控通讯网络的硬件的提供、安装和调试，厂区自动控制软件以及自控通讯网络接口软件的开发、提供和调试。</w:t>
      </w:r>
    </w:p>
    <w:p>
      <w:pPr>
        <w:widowControl/>
        <w:numPr>
          <w:ilvl w:val="0"/>
          <w:numId w:val="10"/>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设备现场控制柜与设备、现场控制站 (PLC) 与中央控制室以及现场控制站和远程I/O站之间的动力、通讯或控制线缆的提供、敷设及连接。</w:t>
      </w:r>
    </w:p>
    <w:p>
      <w:pPr>
        <w:widowControl/>
        <w:numPr>
          <w:ilvl w:val="0"/>
          <w:numId w:val="10"/>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检测仪表和现场控制站、远程I/O站之间控制或通讯线缆的提供、敷设及连接。</w:t>
      </w:r>
    </w:p>
    <w:p>
      <w:pPr>
        <w:widowControl/>
        <w:numPr>
          <w:ilvl w:val="0"/>
          <w:numId w:val="10"/>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设备或设备现场控制柜（箱）与现场控制站 (PLC) 、远程I/O站之间控制或通讯线缆的提供、敷设及连接。</w:t>
      </w:r>
    </w:p>
    <w:p>
      <w:pPr>
        <w:widowControl/>
        <w:numPr>
          <w:ilvl w:val="0"/>
          <w:numId w:val="10"/>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取水泵房、加药消毒车间、滤池等老旧设备拆除，新增水泵、电机等设备的安装与调试。</w:t>
      </w:r>
    </w:p>
    <w:p>
      <w:pPr>
        <w:widowControl/>
        <w:numPr>
          <w:ilvl w:val="0"/>
          <w:numId w:val="10"/>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低压电气、在线检测仪表、自动控制系统提供及安装。</w:t>
      </w:r>
    </w:p>
    <w:p>
      <w:pPr>
        <w:widowControl/>
        <w:numPr>
          <w:ilvl w:val="0"/>
          <w:numId w:val="10"/>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低压电气、在线检测仪表、自动控制系统接地系统、防雷、过电压保护的提供、安装、调试、投运和培训，以及相关资料的提供</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中标人还应负责下列工作（但不仅限于下列工作）</w:t>
      </w:r>
    </w:p>
    <w:p>
      <w:pPr>
        <w:widowControl/>
        <w:numPr>
          <w:ilvl w:val="0"/>
          <w:numId w:val="11"/>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遵照本技术规格书要求，对设备的供货、安装及应用等各方面负责；</w:t>
      </w:r>
    </w:p>
    <w:p>
      <w:pPr>
        <w:widowControl/>
        <w:numPr>
          <w:ilvl w:val="0"/>
          <w:numId w:val="11"/>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与各设备供应商联系，保证各设备及设计的整体的统一性；</w:t>
      </w:r>
    </w:p>
    <w:p>
      <w:pPr>
        <w:widowControl/>
        <w:numPr>
          <w:ilvl w:val="0"/>
          <w:numId w:val="11"/>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对全面的系统工作负责，保证所有的设备、部件和系统组成一个一致的合理的和完全整体化的监控系统以及通讯系统；</w:t>
      </w:r>
    </w:p>
    <w:p>
      <w:pPr>
        <w:widowControl/>
        <w:numPr>
          <w:ilvl w:val="0"/>
          <w:numId w:val="11"/>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负责提供对达到技术规格要求所必须的所有组件，如信号隔离器、滤波器、保护装置、放大器、变换器等，无论这些组件是否在技术规格中明确指出；</w:t>
      </w:r>
    </w:p>
    <w:p>
      <w:pPr>
        <w:widowControl/>
        <w:numPr>
          <w:ilvl w:val="0"/>
          <w:numId w:val="11"/>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对有关线路及设备负责提供保护，以避免系统受雷击及感应电流的影响；</w:t>
      </w:r>
    </w:p>
    <w:p>
      <w:pPr>
        <w:widowControl/>
        <w:numPr>
          <w:ilvl w:val="0"/>
          <w:numId w:val="11"/>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负责提供所有联锁、声光报警及其它设备以保证系统安全及有效的运转；</w:t>
      </w:r>
    </w:p>
    <w:p>
      <w:pPr>
        <w:widowControl/>
        <w:numPr>
          <w:ilvl w:val="0"/>
          <w:numId w:val="11"/>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负责监控系统软件及相关应用软件的编制、汉化以及调试（根据业主的要求）。</w:t>
      </w:r>
    </w:p>
    <w:p>
      <w:pPr>
        <w:rPr>
          <w:rStyle w:val="38"/>
          <w:rFonts w:ascii="宋体" w:hAnsi="宋体" w:cs="宋体"/>
          <w:sz w:val="24"/>
          <w:highlight w:val="none"/>
        </w:rPr>
      </w:pPr>
      <w:r>
        <w:rPr>
          <w:rFonts w:hint="eastAsia" w:ascii="宋体" w:hAnsi="宋体" w:cs="宋体"/>
          <w:sz w:val="24"/>
          <w:highlight w:val="none"/>
        </w:rPr>
        <w:t>全厂的整体自控调试: 当工艺设备及本合同包的中标人达到各自合同包下的调试要求后，在招标人协调下由中标人牵头组织全厂进行自控调试，在联动试车期间各合同包中标人对各自合同范围内所出现的问题自行解决。</w:t>
      </w:r>
    </w:p>
    <w:p>
      <w:pPr>
        <w:pStyle w:val="7"/>
        <w:rPr>
          <w:rFonts w:ascii="宋体" w:hAnsi="宋体" w:cs="宋体"/>
          <w:sz w:val="24"/>
          <w:szCs w:val="24"/>
          <w:highlight w:val="none"/>
        </w:rPr>
      </w:pPr>
      <w:bookmarkStart w:id="48" w:name="_Toc353522432"/>
      <w:bookmarkStart w:id="49" w:name="_Toc356336089"/>
      <w:bookmarkStart w:id="50" w:name="_Toc27239"/>
      <w:bookmarkStart w:id="51" w:name="_Toc40254106"/>
      <w:r>
        <w:rPr>
          <w:rFonts w:hint="eastAsia" w:ascii="宋体" w:hAnsi="宋体" w:cs="宋体"/>
          <w:sz w:val="24"/>
          <w:szCs w:val="24"/>
          <w:highlight w:val="none"/>
        </w:rPr>
        <w:t>2、与其它承包商的分界面</w:t>
      </w:r>
      <w:bookmarkEnd w:id="48"/>
      <w:bookmarkEnd w:id="49"/>
      <w:bookmarkEnd w:id="50"/>
      <w:bookmarkEnd w:id="51"/>
    </w:p>
    <w:p>
      <w:pPr>
        <w:spacing w:line="440" w:lineRule="exact"/>
        <w:ind w:firstLine="480" w:firstLineChars="200"/>
        <w:rPr>
          <w:rFonts w:ascii="宋体" w:hAnsi="宋体" w:cs="宋体"/>
          <w:sz w:val="24"/>
          <w:highlight w:val="none"/>
        </w:rPr>
      </w:pPr>
      <w:r>
        <w:rPr>
          <w:rFonts w:hint="eastAsia" w:ascii="宋体" w:hAnsi="宋体" w:cs="宋体"/>
          <w:sz w:val="24"/>
          <w:highlight w:val="none"/>
        </w:rPr>
        <w:t>当属本标合同范围内线缆与其他承包商合同范围内的设备有连接时,应以其他承包商合同范围内的设备的外接端子排为界。界面以上包括至各设备的外接端子的线缆均属本标范围。</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属于其他合同内容的，但与本合同存在分界面关系的，本合同中标人有责任向其他合同承包商提供属本合同范围内的设备接口资料及文件，明确提出技术要求，并有责任协助对方完成和调试各设备的接口工作。</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本标中标人应负责将机械成套设备控制系统有机的接入厂区自控系统中，使之成为一个完整的系统，并负责相关通讯及数据接口的协调、开发及调试，并将机械成套设备所控设备信息采集至中央监控计算机并在中央监控计算机上显示相应的运行画面。以各成套设备控制系统数据上传通讯接口为界，界面以上通讯线缆提供及安装，数据通讯程序的开发及调试以及成套设备在中央监控计算机上监控程序及画面的开发均属本章节范围。</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在线检测仪表及自动控制系统的供电系统以变电所仪表配电箱电源进线端头为界，界面以下包括仪表配电箱以及至各现场站各现场仪表的电源电缆的提供和安装属本章节范围。</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电气设备控制系统以变压器二次侧为界，界面以下包括变压器二次侧到低压配电柜电力线缆、低压配电柜（含现场控制箱）以及到各个设备的电力线缆的提供和安装属本章节范围。</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电气、仪表自控设备安装所需的与土建相关的预埋件、预留孔、预埋管、套管等及电缆沟的开挖和土建施工属土建标的合同范围。电缆沟内的支架供货和安装属本合同范围，厂区直埋电缆敷设所需沟槽的开挖及电缆敷设完毕后的回填属本合同范围。</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本合同中标人应在规定的时间内向土建标承包商提交设备安装所需土建要求（如预留孔的位置尺寸、预埋管和预埋铁的位置、尺寸等）。在土建施工前，本合同中标人应根据设计图纸及设备的安装要求对土建预留预埋进行核对并书面确认。由于本合同中标人未对土建预留预埋进行核对并书面确认或因未正确核对确认而造成预留预埋错漏,致使设备无法安装的，应由本合同中标人自行实施整改，直至设备顺利安装，整改所需所有费用均由本合同中标人承担。接地系统(包括但不限于工作接地，保护接地等)以接地预埋连接板为界，界面以上室内外接地连接线、电缆支架接地、桥架接地以及各设备接地（包括上述但不限于此）的供货及施工等属本合同范围；界面以下接地预埋连接板、利用构筑物自然金属体的接地装置以及构筑物防雷保护装置属土建标的合同范围。 除利用构筑物自然金属体作为接地装置外，因设备接地所需的人工接地极的供货及施工等属本合同范围。</w:t>
      </w:r>
    </w:p>
    <w:p>
      <w:pPr>
        <w:pStyle w:val="7"/>
        <w:rPr>
          <w:rFonts w:ascii="宋体" w:hAnsi="宋体" w:cs="宋体"/>
          <w:sz w:val="24"/>
          <w:szCs w:val="24"/>
          <w:highlight w:val="none"/>
        </w:rPr>
      </w:pPr>
      <w:bookmarkStart w:id="52" w:name="_Toc353522434"/>
      <w:bookmarkStart w:id="53" w:name="_Toc13530"/>
      <w:bookmarkStart w:id="54" w:name="_Toc40254107"/>
      <w:bookmarkStart w:id="55" w:name="_Toc356336091"/>
      <w:r>
        <w:rPr>
          <w:rFonts w:hint="eastAsia" w:ascii="宋体" w:hAnsi="宋体" w:cs="宋体"/>
          <w:sz w:val="24"/>
          <w:szCs w:val="24"/>
          <w:highlight w:val="none"/>
        </w:rPr>
        <w:t>3、投标人的职责范围</w:t>
      </w:r>
      <w:bookmarkEnd w:id="52"/>
      <w:bookmarkEnd w:id="53"/>
      <w:bookmarkEnd w:id="54"/>
      <w:bookmarkEnd w:id="55"/>
    </w:p>
    <w:p>
      <w:pPr>
        <w:spacing w:line="440" w:lineRule="exact"/>
        <w:ind w:firstLine="480" w:firstLineChars="200"/>
        <w:rPr>
          <w:rFonts w:ascii="宋体" w:hAnsi="宋体" w:cs="宋体"/>
          <w:sz w:val="24"/>
          <w:highlight w:val="none"/>
        </w:rPr>
      </w:pPr>
      <w:r>
        <w:rPr>
          <w:rFonts w:hint="eastAsia" w:ascii="宋体" w:hAnsi="宋体" w:cs="宋体"/>
          <w:sz w:val="24"/>
          <w:highlight w:val="none"/>
        </w:rPr>
        <w:t>投标人将按本招标文件的各条款履行合同，完成合同所需设备的供货、安装、调试、试运行、验收、移交、培训、保修和相应的技术方案设计等工作。</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投标人必须对合同包内设备的单体和整个系统联动运行负责。</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由于设备质量缺陷、控制软件等错误造成出水达不到标准时，通讯系统不稳定时，系统投标人应负其责任。</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 xml:space="preserve">投标人必须提供足以使合同包内设备良好联动运行(包括自动控制)的设备和附件、并在提供工艺控制软件以及自动控制软件时，应确保系统整体功能的实现。如果投标人发现招标人提出的招标文件、设计文件存在缺陷，将妨碍上述要求的实现，投标人有义务明确指出修正建议，但必须征求招标人的同意，决定是否采纳。 </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对设备的制造、供货、工厂测试、油漆、包装和运输负责。并负责设备安装、检查、验收。</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运行检测前的设备现场调试。</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设备的现场性能测试。</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运行检测结果合格后，将设备的检测报告提交招标人。</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对不合格的设备进行更换。</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试运行期间内的设备检测、保修和运行管理指导。</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在正式由招标人操作的一年运行维护期内，将负责设备的保修和运行的管理指导工作。</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自控仪表系统与电气设备、机械设备相互间的相关技术衔接。</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提供所需要的备品备件和专用工具。</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提供技术文件和图纸资料。</w:t>
      </w:r>
    </w:p>
    <w:p>
      <w:pPr>
        <w:widowControl/>
        <w:numPr>
          <w:ilvl w:val="0"/>
          <w:numId w:val="12"/>
        </w:numPr>
        <w:spacing w:line="440" w:lineRule="exact"/>
        <w:ind w:left="0" w:firstLine="480" w:firstLineChars="200"/>
        <w:jc w:val="left"/>
        <w:rPr>
          <w:rFonts w:ascii="宋体" w:hAnsi="宋体" w:cs="宋体"/>
          <w:sz w:val="24"/>
          <w:highlight w:val="none"/>
        </w:rPr>
      </w:pPr>
      <w:r>
        <w:rPr>
          <w:rFonts w:hint="eastAsia" w:ascii="宋体" w:hAnsi="宋体" w:cs="宋体"/>
          <w:sz w:val="24"/>
          <w:highlight w:val="none"/>
        </w:rPr>
        <w:t>提供技术文件中未提及，但在安装、调试、移交的全过程中确实需要的元件、材料和服务。</w:t>
      </w:r>
    </w:p>
    <w:p>
      <w:pPr>
        <w:pStyle w:val="7"/>
        <w:rPr>
          <w:rFonts w:ascii="宋体" w:hAnsi="宋体" w:cs="宋体"/>
          <w:sz w:val="24"/>
          <w:szCs w:val="24"/>
          <w:highlight w:val="none"/>
        </w:rPr>
      </w:pPr>
      <w:bookmarkStart w:id="56" w:name="_Toc353522435"/>
      <w:bookmarkStart w:id="57" w:name="_Toc356336092"/>
      <w:bookmarkStart w:id="58" w:name="_Toc40254108"/>
      <w:bookmarkStart w:id="59" w:name="_Toc1471"/>
      <w:r>
        <w:rPr>
          <w:rFonts w:hint="eastAsia" w:ascii="宋体" w:hAnsi="宋体" w:cs="宋体"/>
          <w:sz w:val="24"/>
          <w:szCs w:val="24"/>
          <w:highlight w:val="none"/>
        </w:rPr>
        <w:t>4、需提交的图纸和技术文件</w:t>
      </w:r>
      <w:bookmarkEnd w:id="56"/>
      <w:bookmarkEnd w:id="57"/>
      <w:bookmarkEnd w:id="58"/>
      <w:bookmarkEnd w:id="59"/>
    </w:p>
    <w:p>
      <w:pPr>
        <w:pStyle w:val="8"/>
        <w:numPr>
          <w:ilvl w:val="0"/>
          <w:numId w:val="0"/>
        </w:numPr>
        <w:ind w:left="142"/>
        <w:rPr>
          <w:rFonts w:cs="宋体"/>
          <w:sz w:val="24"/>
          <w:szCs w:val="24"/>
          <w:highlight w:val="none"/>
        </w:rPr>
      </w:pPr>
      <w:bookmarkStart w:id="60" w:name="_Toc353522436"/>
      <w:r>
        <w:rPr>
          <w:rFonts w:hint="eastAsia" w:cs="宋体"/>
          <w:sz w:val="24"/>
          <w:szCs w:val="24"/>
          <w:highlight w:val="none"/>
        </w:rPr>
        <w:t>4.1 投标图纸及文件</w:t>
      </w:r>
      <w:bookmarkEnd w:id="60"/>
    </w:p>
    <w:p>
      <w:pPr>
        <w:spacing w:line="440" w:lineRule="exact"/>
        <w:ind w:firstLine="480" w:firstLineChars="200"/>
        <w:rPr>
          <w:rFonts w:ascii="宋体" w:hAnsi="宋体" w:cs="宋体"/>
          <w:sz w:val="24"/>
          <w:highlight w:val="none"/>
        </w:rPr>
      </w:pPr>
      <w:r>
        <w:rPr>
          <w:rFonts w:hint="eastAsia" w:ascii="宋体" w:hAnsi="宋体" w:cs="宋体"/>
          <w:sz w:val="24"/>
          <w:highlight w:val="none"/>
        </w:rPr>
        <w:t>1）本招标文件设备清单中PLC、在线分析仪表等主要设备，投标人在投标文件中必须提交这些设备的制造商名称、设备选型配置、所在国别、产品产地，性能参数与《技术规定》的技术偏差的说明。</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2)投标人的投标书中需提供的投标图纸、技术文件等技术资料应包括（但不限于）：</w:t>
      </w:r>
    </w:p>
    <w:p>
      <w:pPr>
        <w:spacing w:line="440" w:lineRule="exact"/>
        <w:rPr>
          <w:rFonts w:ascii="宋体" w:hAnsi="宋体" w:cs="宋体"/>
          <w:sz w:val="24"/>
          <w:highlight w:val="none"/>
        </w:rPr>
      </w:pPr>
      <w:r>
        <w:rPr>
          <w:rFonts w:hint="eastAsia" w:ascii="宋体" w:hAnsi="宋体" w:cs="宋体"/>
          <w:sz w:val="24"/>
          <w:highlight w:val="none"/>
        </w:rPr>
        <w:t>·设备供货一览表：包括设备和主要材料的型号、技术规格、数量表;</w:t>
      </w:r>
    </w:p>
    <w:p>
      <w:pPr>
        <w:spacing w:line="440" w:lineRule="exact"/>
        <w:rPr>
          <w:rFonts w:ascii="宋体" w:hAnsi="宋体" w:cs="宋体"/>
          <w:sz w:val="24"/>
          <w:highlight w:val="none"/>
        </w:rPr>
      </w:pPr>
      <w:r>
        <w:rPr>
          <w:rFonts w:hint="eastAsia" w:ascii="宋体" w:hAnsi="宋体" w:cs="宋体"/>
          <w:sz w:val="24"/>
          <w:highlight w:val="none"/>
        </w:rPr>
        <w:t>·项目施工方案</w:t>
      </w:r>
    </w:p>
    <w:p>
      <w:pPr>
        <w:spacing w:line="440" w:lineRule="exact"/>
        <w:rPr>
          <w:rFonts w:ascii="宋体" w:hAnsi="宋体" w:cs="宋体"/>
          <w:sz w:val="24"/>
          <w:highlight w:val="none"/>
        </w:rPr>
      </w:pPr>
      <w:r>
        <w:rPr>
          <w:rFonts w:hint="eastAsia" w:ascii="宋体" w:hAnsi="宋体" w:cs="宋体"/>
          <w:sz w:val="24"/>
          <w:highlight w:val="none"/>
        </w:rPr>
        <w:t>·项目设计方案说明（需包含工艺自动控制及仪表选型配置说明）</w:t>
      </w:r>
    </w:p>
    <w:p>
      <w:pPr>
        <w:spacing w:line="440" w:lineRule="exact"/>
        <w:rPr>
          <w:rFonts w:ascii="宋体" w:hAnsi="宋体" w:cs="宋体"/>
          <w:sz w:val="24"/>
          <w:highlight w:val="none"/>
        </w:rPr>
      </w:pPr>
      <w:r>
        <w:rPr>
          <w:rFonts w:hint="eastAsia" w:ascii="宋体" w:hAnsi="宋体" w:cs="宋体"/>
          <w:sz w:val="24"/>
          <w:highlight w:val="none"/>
        </w:rPr>
        <w:t>·自控系统拓扑结构图：包括系统的总体结构，各主要组成部分及相互之间的物理关系；</w:t>
      </w:r>
    </w:p>
    <w:p>
      <w:pPr>
        <w:spacing w:line="440" w:lineRule="exact"/>
        <w:rPr>
          <w:rFonts w:ascii="宋体" w:hAnsi="宋体" w:cs="宋体"/>
          <w:sz w:val="24"/>
          <w:highlight w:val="none"/>
        </w:rPr>
      </w:pPr>
      <w:r>
        <w:rPr>
          <w:rFonts w:hint="eastAsia" w:ascii="宋体" w:hAnsi="宋体" w:cs="宋体"/>
          <w:sz w:val="24"/>
          <w:highlight w:val="none"/>
        </w:rPr>
        <w:t>·投标人认为有必要提供的其他图纸、证书及证明等资料。</w:t>
      </w:r>
    </w:p>
    <w:p>
      <w:pPr>
        <w:pStyle w:val="8"/>
        <w:numPr>
          <w:ilvl w:val="0"/>
          <w:numId w:val="0"/>
        </w:numPr>
        <w:ind w:left="142"/>
        <w:rPr>
          <w:rFonts w:cs="宋体"/>
          <w:sz w:val="24"/>
          <w:szCs w:val="24"/>
          <w:highlight w:val="none"/>
        </w:rPr>
      </w:pPr>
      <w:bookmarkStart w:id="61" w:name="_Toc353522437"/>
      <w:r>
        <w:rPr>
          <w:rFonts w:hint="eastAsia" w:cs="宋体"/>
          <w:sz w:val="24"/>
          <w:szCs w:val="24"/>
          <w:highlight w:val="none"/>
        </w:rPr>
        <w:t>4.2 投标人中标后技术文件的提交</w:t>
      </w:r>
      <w:bookmarkEnd w:id="61"/>
    </w:p>
    <w:p>
      <w:pPr>
        <w:spacing w:line="440" w:lineRule="exact"/>
        <w:ind w:firstLine="480" w:firstLineChars="200"/>
        <w:rPr>
          <w:rFonts w:ascii="宋体" w:hAnsi="宋体" w:cs="宋体"/>
          <w:sz w:val="24"/>
          <w:highlight w:val="none"/>
        </w:rPr>
      </w:pPr>
      <w:r>
        <w:rPr>
          <w:rFonts w:hint="eastAsia" w:ascii="宋体" w:hAnsi="宋体" w:cs="宋体"/>
          <w:sz w:val="24"/>
          <w:highlight w:val="none"/>
        </w:rPr>
        <w:t>中标人中标后，应根据业主项目经理的要求，分阶段向业主提供下述资料：</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1）在收到中标通知书30天内，提供以下资料：</w:t>
      </w:r>
    </w:p>
    <w:p>
      <w:pPr>
        <w:spacing w:line="440" w:lineRule="exact"/>
        <w:rPr>
          <w:rFonts w:ascii="宋体" w:hAnsi="宋体" w:cs="宋体"/>
          <w:sz w:val="24"/>
          <w:highlight w:val="none"/>
        </w:rPr>
      </w:pPr>
      <w:r>
        <w:rPr>
          <w:rFonts w:hint="eastAsia" w:ascii="宋体" w:hAnsi="宋体" w:cs="宋体"/>
          <w:sz w:val="24"/>
          <w:highlight w:val="none"/>
        </w:rPr>
        <w:t xml:space="preserve">    ·系统总体拓扑结构图</w:t>
      </w:r>
    </w:p>
    <w:p>
      <w:pPr>
        <w:spacing w:line="440" w:lineRule="exact"/>
        <w:rPr>
          <w:rFonts w:ascii="宋体" w:hAnsi="宋体" w:cs="宋体"/>
          <w:sz w:val="24"/>
          <w:highlight w:val="none"/>
        </w:rPr>
      </w:pPr>
      <w:r>
        <w:rPr>
          <w:rFonts w:hint="eastAsia" w:ascii="宋体" w:hAnsi="宋体" w:cs="宋体"/>
          <w:sz w:val="24"/>
          <w:highlight w:val="none"/>
        </w:rPr>
        <w:t xml:space="preserve">    ·各子系统拓扑结构图</w:t>
      </w:r>
    </w:p>
    <w:p>
      <w:pPr>
        <w:spacing w:line="440" w:lineRule="exact"/>
        <w:rPr>
          <w:rFonts w:ascii="宋体" w:hAnsi="宋体" w:cs="宋体"/>
          <w:sz w:val="24"/>
          <w:highlight w:val="none"/>
        </w:rPr>
      </w:pPr>
      <w:r>
        <w:rPr>
          <w:rFonts w:hint="eastAsia" w:ascii="宋体" w:hAnsi="宋体" w:cs="宋体"/>
          <w:sz w:val="24"/>
          <w:highlight w:val="none"/>
        </w:rPr>
        <w:t xml:space="preserve">    ·输入输出信号表</w:t>
      </w:r>
    </w:p>
    <w:p>
      <w:pPr>
        <w:spacing w:line="440" w:lineRule="exact"/>
        <w:rPr>
          <w:rFonts w:ascii="宋体" w:hAnsi="宋体" w:cs="宋体"/>
          <w:sz w:val="24"/>
          <w:highlight w:val="none"/>
        </w:rPr>
      </w:pPr>
      <w:r>
        <w:rPr>
          <w:rFonts w:hint="eastAsia" w:ascii="宋体" w:hAnsi="宋体" w:cs="宋体"/>
          <w:sz w:val="24"/>
          <w:highlight w:val="none"/>
        </w:rPr>
        <w:t xml:space="preserve">    ·各类设备（各种仪表、自动化和信息化系统、视频监控系统、电源系统、防雷系统、接地系统、信号线和线缆等）的安装图（包括外形尺寸、基础螺栓、预留孔预埋件尺寸位置、二次灌浆要求等）、柜内及柜面面布置图，预留孔、预埋件的设计须经业主的批准及土建承包商的确认；</w:t>
      </w:r>
    </w:p>
    <w:p>
      <w:pPr>
        <w:spacing w:line="440" w:lineRule="exact"/>
        <w:rPr>
          <w:rFonts w:ascii="宋体" w:hAnsi="宋体" w:cs="宋体"/>
          <w:sz w:val="24"/>
          <w:highlight w:val="none"/>
        </w:rPr>
      </w:pPr>
      <w:r>
        <w:rPr>
          <w:rFonts w:hint="eastAsia" w:ascii="宋体" w:hAnsi="宋体" w:cs="宋体"/>
          <w:sz w:val="24"/>
          <w:highlight w:val="none"/>
        </w:rPr>
        <w:t xml:space="preserve">    ·线缆一览表（线缆清册）</w:t>
      </w:r>
    </w:p>
    <w:p>
      <w:pPr>
        <w:spacing w:line="440" w:lineRule="exact"/>
        <w:rPr>
          <w:rFonts w:ascii="宋体" w:hAnsi="宋体" w:cs="宋体"/>
          <w:sz w:val="24"/>
          <w:highlight w:val="none"/>
        </w:rPr>
      </w:pPr>
      <w:r>
        <w:rPr>
          <w:rFonts w:hint="eastAsia" w:ascii="宋体" w:hAnsi="宋体" w:cs="宋体"/>
          <w:sz w:val="24"/>
          <w:highlight w:val="none"/>
        </w:rPr>
        <w:t xml:space="preserve">    ·各设备外接端子接线图</w:t>
      </w:r>
    </w:p>
    <w:p>
      <w:pPr>
        <w:spacing w:line="440" w:lineRule="exact"/>
        <w:rPr>
          <w:rFonts w:ascii="宋体" w:hAnsi="宋体" w:cs="宋体"/>
          <w:sz w:val="24"/>
          <w:highlight w:val="none"/>
        </w:rPr>
      </w:pPr>
      <w:r>
        <w:rPr>
          <w:rFonts w:hint="eastAsia" w:ascii="宋体" w:hAnsi="宋体" w:cs="宋体"/>
          <w:sz w:val="24"/>
          <w:highlight w:val="none"/>
        </w:rPr>
        <w:t xml:space="preserve">    ·各设备外接接口详细技术要求</w:t>
      </w:r>
    </w:p>
    <w:p>
      <w:pPr>
        <w:spacing w:line="440" w:lineRule="exact"/>
        <w:rPr>
          <w:rFonts w:ascii="宋体" w:hAnsi="宋体" w:cs="宋体"/>
          <w:sz w:val="24"/>
          <w:highlight w:val="none"/>
        </w:rPr>
      </w:pPr>
      <w:r>
        <w:rPr>
          <w:rFonts w:hint="eastAsia" w:ascii="宋体" w:hAnsi="宋体" w:cs="宋体"/>
          <w:sz w:val="24"/>
          <w:highlight w:val="none"/>
        </w:rPr>
        <w:t xml:space="preserve">    ·软件功能设计规格</w:t>
      </w:r>
    </w:p>
    <w:p>
      <w:pPr>
        <w:spacing w:line="440" w:lineRule="exact"/>
        <w:rPr>
          <w:rFonts w:ascii="宋体" w:hAnsi="宋体" w:cs="宋体"/>
          <w:sz w:val="24"/>
          <w:highlight w:val="none"/>
        </w:rPr>
      </w:pPr>
      <w:r>
        <w:rPr>
          <w:rFonts w:hint="eastAsia" w:ascii="宋体" w:hAnsi="宋体" w:cs="宋体"/>
          <w:sz w:val="24"/>
          <w:highlight w:val="none"/>
        </w:rPr>
        <w:t xml:space="preserve">    ·计算机、PLC操作显示终端画面的设计图（屏幕上显示的各幅监控画面的内容。如等水压曲线、棒状图、直方图等图像内容）；</w:t>
      </w:r>
    </w:p>
    <w:p>
      <w:pPr>
        <w:spacing w:line="440" w:lineRule="exact"/>
        <w:rPr>
          <w:rFonts w:ascii="宋体" w:hAnsi="宋体" w:cs="宋体"/>
          <w:sz w:val="24"/>
          <w:highlight w:val="none"/>
        </w:rPr>
      </w:pPr>
      <w:r>
        <w:rPr>
          <w:rFonts w:hint="eastAsia" w:ascii="宋体" w:hAnsi="宋体" w:cs="宋体"/>
          <w:sz w:val="24"/>
          <w:highlight w:val="none"/>
        </w:rPr>
        <w:t xml:space="preserve">·各种报表的格式、内容； </w:t>
      </w:r>
    </w:p>
    <w:p>
      <w:pPr>
        <w:spacing w:line="440" w:lineRule="exact"/>
        <w:rPr>
          <w:rFonts w:ascii="宋体" w:hAnsi="宋体" w:cs="宋体"/>
          <w:sz w:val="24"/>
          <w:highlight w:val="none"/>
        </w:rPr>
      </w:pPr>
      <w:r>
        <w:rPr>
          <w:rFonts w:hint="eastAsia" w:ascii="宋体" w:hAnsi="宋体" w:cs="宋体"/>
          <w:sz w:val="24"/>
          <w:highlight w:val="none"/>
        </w:rPr>
        <w:t>·控制回路逻辑流程框图及相关工艺说明；</w:t>
      </w:r>
    </w:p>
    <w:p>
      <w:pPr>
        <w:spacing w:line="440" w:lineRule="exact"/>
        <w:rPr>
          <w:rFonts w:ascii="宋体" w:hAnsi="宋体" w:cs="宋体"/>
          <w:sz w:val="24"/>
          <w:highlight w:val="none"/>
        </w:rPr>
      </w:pPr>
      <w:r>
        <w:rPr>
          <w:rFonts w:hint="eastAsia" w:ascii="宋体" w:hAnsi="宋体" w:cs="宋体"/>
          <w:sz w:val="24"/>
          <w:highlight w:val="none"/>
        </w:rPr>
        <w:t>·设备和材料表（所使用的设备和主材的编号、名称、型号、规格、数量、使用地点表）；</w:t>
      </w:r>
    </w:p>
    <w:p>
      <w:pPr>
        <w:spacing w:line="440" w:lineRule="exact"/>
        <w:rPr>
          <w:rFonts w:ascii="宋体" w:hAnsi="宋体" w:cs="宋体"/>
          <w:sz w:val="24"/>
          <w:highlight w:val="none"/>
        </w:rPr>
      </w:pPr>
      <w:r>
        <w:rPr>
          <w:rFonts w:hint="eastAsia" w:ascii="宋体" w:hAnsi="宋体" w:cs="宋体"/>
          <w:sz w:val="24"/>
          <w:highlight w:val="none"/>
        </w:rPr>
        <w:t>·所有设备的详细工作性能和技术指标说明书</w:t>
      </w:r>
      <w:r>
        <w:rPr>
          <w:rFonts w:hint="eastAsia" w:ascii="宋体" w:hAnsi="宋体" w:cs="宋体"/>
          <w:sz w:val="24"/>
          <w:highlight w:val="none"/>
        </w:rPr>
        <w:tab/>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2）在设备交货前1个月，提供以下资料：</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制造商的分类资料、文献说明、设备报告、设备制造说明，运行、维修、相关标准及防腐措施，设备操作手册和维修手册等。</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设备的工厂检查合格证和测试报告。</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3）在设备安装前1个月，中标人应向业主/工程师/业主项目经理提供以下资料：</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详细安装施工组织设计，安装质量评定表格，认可的安装进度表，现场管理和安全措施。安装说明文件。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4）在设备预调试，调试前30天，中标人应向业主/工程师提交以下资料：</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调试大纲认可的调试进度表，现场管理和安全措施。调试、检验和使用说明文件。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5）在工程验收前30天内，中标人应向业主项目经理提交下列图纸和文件：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设备的质量自检报告和业主项目经理、工程师和市质监机构的评价</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材料的质量证书和检测报告</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关于仪器、设备的专用工具和备件的质量保证书、验收证书。</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仪表调试报告、IO清册、电缆清册、设备控制柜端子接线图。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工程联系单、设计变更单、整改记录、隐蔽工程记录、试压、试车检验报告。</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竣工计量文件等以及其它可能提供的文件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6）提供的所有资料图纸应满足技术规定的要求并得到业主项目经理的认可。上述图纸和文件的费用被视为已包含在与图纸相关的项目中。业主将不支付任何费用。</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7）任何设备资料都应该提供中文版本。</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8）上述所需的资料均需提供1式4份，电子版1份（光盘）。</w:t>
      </w:r>
    </w:p>
    <w:p>
      <w:pPr>
        <w:pStyle w:val="8"/>
        <w:numPr>
          <w:ilvl w:val="0"/>
          <w:numId w:val="0"/>
        </w:numPr>
        <w:ind w:left="142"/>
        <w:rPr>
          <w:rFonts w:cs="宋体"/>
          <w:sz w:val="24"/>
          <w:szCs w:val="24"/>
          <w:highlight w:val="none"/>
        </w:rPr>
      </w:pPr>
      <w:bookmarkStart w:id="62" w:name="_Toc353522438"/>
      <w:r>
        <w:rPr>
          <w:rFonts w:hint="eastAsia" w:cs="宋体"/>
          <w:sz w:val="24"/>
          <w:szCs w:val="24"/>
          <w:highlight w:val="none"/>
        </w:rPr>
        <w:t>4.3 竣工图</w:t>
      </w:r>
      <w:bookmarkEnd w:id="62"/>
    </w:p>
    <w:p>
      <w:pPr>
        <w:spacing w:line="440" w:lineRule="exact"/>
        <w:ind w:firstLine="480" w:firstLineChars="200"/>
        <w:rPr>
          <w:rFonts w:ascii="宋体" w:hAnsi="宋体" w:cs="宋体"/>
          <w:sz w:val="24"/>
          <w:highlight w:val="none"/>
        </w:rPr>
      </w:pPr>
      <w:r>
        <w:rPr>
          <w:rFonts w:hint="eastAsia" w:ascii="宋体" w:hAnsi="宋体" w:cs="宋体"/>
          <w:sz w:val="24"/>
          <w:highlight w:val="none"/>
        </w:rPr>
        <w:t>竣工图的质量必须符合工程师的要求。图纸整洁，线条清晰，对原设计图修改处必须做出明显的标记，以标出正确的尺寸、位置、大小、设备细部等，以便为永久性工程提供完整、准确的记录。这些图纸包括：</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1）现场的总体布置图，标明已安装设备总的布局和详细情况。</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2）每个主要设备的布置图。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3）所有现场控制站站和控制系统的原理图和接线图。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4）所有供电及控制电缆的电缆表及走向图。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5）业主项目经理可能要求的其它详图。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6）所有上位机及服务器均需提供系统备份恢复光盘一套，该系统恢复光盘不仅限于恢复操作系统，而且应同时恢复各种软硬件配置及应用软件，便于用户日后可以将系统恢复至竣工验收时状态。本工程所有编制的软件程序（含PLC程序，HMI界面程序，SCADA软件程序等）需提供恢复光盘一套，便于日后管理人员进行程序恢复。</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竣工资料必须用黑色碳素墨水书写，字迹端正、清楚，文件的规格为A4纸。</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竣工资料所包含的内容，必须严格按照中华人民共和国建设部颁布的《市政工程施工技术资料管理规定》编制。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若中标人未按上述的时间和要求提交竣工图和竣工资料，则工程师有权指派他人完成，其发生的额外费用，将从应支付给中标人的费用中扣除。</w:t>
      </w:r>
    </w:p>
    <w:p>
      <w:pPr>
        <w:pStyle w:val="7"/>
        <w:rPr>
          <w:rFonts w:ascii="宋体" w:hAnsi="宋体" w:cs="宋体"/>
          <w:sz w:val="24"/>
          <w:szCs w:val="24"/>
          <w:highlight w:val="none"/>
        </w:rPr>
      </w:pPr>
      <w:bookmarkStart w:id="63" w:name="_Toc353522439"/>
      <w:bookmarkStart w:id="64" w:name="_Toc356336093"/>
      <w:bookmarkStart w:id="65" w:name="_Toc40254109"/>
      <w:bookmarkStart w:id="66" w:name="_Toc9923"/>
      <w:r>
        <w:rPr>
          <w:rFonts w:hint="eastAsia" w:ascii="宋体" w:hAnsi="宋体" w:cs="宋体"/>
          <w:sz w:val="24"/>
          <w:szCs w:val="24"/>
          <w:highlight w:val="none"/>
        </w:rPr>
        <w:t>5、二次设计（中标后提供）</w:t>
      </w:r>
      <w:bookmarkEnd w:id="63"/>
      <w:bookmarkEnd w:id="64"/>
      <w:bookmarkEnd w:id="65"/>
      <w:bookmarkEnd w:id="66"/>
    </w:p>
    <w:p>
      <w:pPr>
        <w:spacing w:line="440" w:lineRule="exact"/>
        <w:ind w:firstLine="480" w:firstLineChars="200"/>
        <w:rPr>
          <w:rFonts w:ascii="宋体" w:hAnsi="宋体" w:cs="宋体"/>
          <w:sz w:val="24"/>
          <w:highlight w:val="none"/>
        </w:rPr>
      </w:pPr>
      <w:r>
        <w:rPr>
          <w:rFonts w:hint="eastAsia" w:ascii="宋体" w:hAnsi="宋体" w:cs="宋体"/>
          <w:sz w:val="24"/>
          <w:highlight w:val="none"/>
        </w:rPr>
        <w:t>1) 投标人负责从PLC机柜与控制系统网络的整体设计。</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 投标人负责从PLC机柜至其操作站的可编程控制器的整体设计。</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 投标人所提供的设备、仪表、电源开关、与所供所有设备直接连接的电缆电线、安装材料等。</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4) 投标人负责PLC控制系统及各分控站通讯实现。</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5) 投标人负责系统内部的电源分配、转换以及材料供应、安装、调试。</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6) 投标人应按照招标人施工图中的供电系统图要求提供所有现场仪表的工作电源。</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7) 投标人负责电气控制系统、防雷系统二次设计以及设备供应、安装、调试。投标人需根据本招标文件所描述的要求以及业主的要求，对系统防雷进行二次设计，提供设计图纸供业主确认，并根据业主要求进行相应修改，至到设计方案得到业主认可。</w:t>
      </w:r>
    </w:p>
    <w:p>
      <w:pPr>
        <w:spacing w:line="440" w:lineRule="exact"/>
        <w:ind w:firstLine="240" w:firstLineChars="100"/>
        <w:rPr>
          <w:rFonts w:ascii="宋体" w:hAnsi="宋体" w:cs="宋体"/>
          <w:sz w:val="24"/>
          <w:highlight w:val="none"/>
        </w:rPr>
      </w:pPr>
      <w:r>
        <w:rPr>
          <w:rFonts w:hint="eastAsia" w:ascii="宋体" w:hAnsi="宋体" w:cs="宋体"/>
          <w:sz w:val="24"/>
          <w:highlight w:val="none"/>
        </w:rPr>
        <w:t xml:space="preserve"> 8)  投标人的设计应按相关国家标准规范进行,最终设计必须经招标人审查认可。投标人应接受招标人在技术规范要求的范围内对设计提出的修改意见，投标人并不得增加任何费用。</w:t>
      </w:r>
    </w:p>
    <w:p>
      <w:pPr>
        <w:pStyle w:val="7"/>
        <w:rPr>
          <w:rFonts w:ascii="宋体" w:hAnsi="宋体" w:cs="宋体"/>
          <w:sz w:val="24"/>
          <w:szCs w:val="24"/>
          <w:highlight w:val="none"/>
        </w:rPr>
      </w:pPr>
      <w:bookmarkStart w:id="67" w:name="_Toc356336094"/>
      <w:bookmarkStart w:id="68" w:name="_Toc23369"/>
      <w:bookmarkStart w:id="69" w:name="_Toc40254110"/>
      <w:bookmarkStart w:id="70" w:name="_Toc353522440"/>
      <w:r>
        <w:rPr>
          <w:rFonts w:hint="eastAsia" w:ascii="宋体" w:hAnsi="宋体" w:cs="宋体"/>
          <w:sz w:val="24"/>
          <w:szCs w:val="24"/>
          <w:highlight w:val="none"/>
        </w:rPr>
        <w:t>6、参照标准的说明</w:t>
      </w:r>
      <w:bookmarkEnd w:id="67"/>
      <w:bookmarkEnd w:id="68"/>
      <w:bookmarkEnd w:id="69"/>
      <w:bookmarkEnd w:id="70"/>
    </w:p>
    <w:p>
      <w:pPr>
        <w:spacing w:line="440" w:lineRule="exact"/>
        <w:rPr>
          <w:rFonts w:ascii="宋体" w:hAnsi="宋体" w:cs="宋体"/>
          <w:b/>
          <w:sz w:val="24"/>
          <w:highlight w:val="none"/>
        </w:rPr>
      </w:pPr>
      <w:bookmarkStart w:id="71" w:name="_Toc353522441"/>
      <w:r>
        <w:rPr>
          <w:rFonts w:hint="eastAsia" w:ascii="宋体" w:hAnsi="宋体" w:cs="宋体"/>
          <w:b/>
          <w:sz w:val="24"/>
          <w:highlight w:val="none"/>
        </w:rPr>
        <w:t>6.1 参照标准</w:t>
      </w:r>
      <w:bookmarkEnd w:id="71"/>
    </w:p>
    <w:p>
      <w:pPr>
        <w:spacing w:line="440" w:lineRule="exact"/>
        <w:rPr>
          <w:rFonts w:ascii="宋体" w:hAnsi="宋体" w:cs="宋体"/>
          <w:sz w:val="24"/>
          <w:highlight w:val="none"/>
        </w:rPr>
      </w:pPr>
      <w:r>
        <w:rPr>
          <w:rFonts w:hint="eastAsia" w:ascii="宋体" w:hAnsi="宋体" w:cs="宋体"/>
          <w:sz w:val="24"/>
          <w:highlight w:val="none"/>
        </w:rPr>
        <w:t xml:space="preserve">    1）所提供的在线检测仪表及自控系统应符合相应的国家标准。主要标准和规范如下（但不限于下列标准规范）：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《HG/T 20573-2012分散型控制系统工程设计规定》</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《HG/T 20507-2000自动化仪表选型设计规定》</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《HG/T 20508-2000控制室设计规定》</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《HG/T 20509-2000仪表供电设计规定》</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《HG/T 20512-2000仪表配管、配线设计规定》</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《HG/T 20513-2000仪表系统接地设计规定》</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《HG/T 20700-2000可编程控制器系统设计规定》</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《GB50168-2006电气装置安装工程电缆施工及验收规范》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《GB50169-2006电气装置安装工程接地施工及验收规范》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《JGJ16-2008民用建筑电气设计规范》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《GB50093-2013自动化仪表工程及施工验收规范》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《GB50057-2010建筑防雷设计规范》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《GB50343-2012建筑物电子信息系统防雷技术规范》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《GB50217-2007电力工程电缆设计规范》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《GB50052-2009供配电系统设计规范》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《GB50054-2011低压配电设计规范》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《GB50055-2011通用用电设备配电设计规范》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《GB50395-2007视频安防监控系统工程设计规范》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《GB50311-2007综合布线工程设计规范》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《GB50312-2007综合布线工程验收规范》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《GB50171-2012  电气装置安装工程盘、柜及二次回路接线电缆线路施工及验收规范》</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《GB 50303-2002 建筑电气工程施工质量验收规范》</w:t>
      </w:r>
    </w:p>
    <w:p>
      <w:pPr>
        <w:spacing w:line="440" w:lineRule="exact"/>
        <w:rPr>
          <w:rFonts w:ascii="宋体" w:hAnsi="宋体" w:cs="宋体"/>
          <w:sz w:val="24"/>
          <w:highlight w:val="none"/>
        </w:rPr>
      </w:pPr>
      <w:r>
        <w:rPr>
          <w:rFonts w:hint="eastAsia" w:ascii="宋体" w:hAnsi="宋体" w:cs="宋体"/>
          <w:sz w:val="24"/>
          <w:highlight w:val="none"/>
        </w:rPr>
        <w:t xml:space="preserve">    2）本合同的执行应符合本标技术规范及参照标准相关章节中的质量标准、测试程序，和/或安装技术规范，以上这些标准被定义为“使用标准”。中标人应熟悉这些标准。</w:t>
      </w:r>
    </w:p>
    <w:p>
      <w:pPr>
        <w:spacing w:line="440" w:lineRule="exact"/>
        <w:rPr>
          <w:rFonts w:ascii="宋体" w:hAnsi="宋体" w:cs="宋体"/>
          <w:sz w:val="24"/>
          <w:highlight w:val="none"/>
        </w:rPr>
      </w:pPr>
      <w:r>
        <w:rPr>
          <w:rFonts w:hint="eastAsia" w:ascii="宋体" w:hAnsi="宋体" w:cs="宋体"/>
          <w:sz w:val="24"/>
          <w:highlight w:val="none"/>
        </w:rPr>
        <w:t xml:space="preserve">    3）无论何时，当本合同需要参考有关设备材料的供货、安装和测试的标准和规范时，应采用相关标准和规范的现行最新版本或修订本。</w:t>
      </w:r>
    </w:p>
    <w:p>
      <w:pPr>
        <w:spacing w:line="440" w:lineRule="exact"/>
        <w:rPr>
          <w:rFonts w:ascii="宋体" w:hAnsi="宋体" w:cs="宋体"/>
          <w:b/>
          <w:sz w:val="24"/>
          <w:highlight w:val="none"/>
        </w:rPr>
      </w:pPr>
      <w:bookmarkStart w:id="72" w:name="_Toc353522442"/>
      <w:r>
        <w:rPr>
          <w:rFonts w:hint="eastAsia" w:ascii="宋体" w:hAnsi="宋体" w:cs="宋体"/>
          <w:b/>
          <w:sz w:val="24"/>
          <w:highlight w:val="none"/>
        </w:rPr>
        <w:t>6.2 替代标准</w:t>
      </w:r>
      <w:bookmarkEnd w:id="72"/>
    </w:p>
    <w:p>
      <w:pPr>
        <w:spacing w:line="440" w:lineRule="exact"/>
        <w:ind w:firstLine="480" w:firstLineChars="200"/>
        <w:rPr>
          <w:rFonts w:ascii="宋体" w:hAnsi="宋体" w:cs="宋体"/>
          <w:sz w:val="24"/>
          <w:highlight w:val="none"/>
        </w:rPr>
      </w:pPr>
      <w:r>
        <w:rPr>
          <w:rFonts w:hint="eastAsia" w:ascii="宋体" w:hAnsi="宋体" w:cs="宋体"/>
          <w:sz w:val="24"/>
          <w:highlight w:val="none"/>
        </w:rPr>
        <w:t>1）替代标准应在投标文件中予以明确。</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标准分为通用标准和专用标准。如果合同中没有指定或认可某个标准，则应采用相关中国标准。若缺乏相关的中国标准，可采用国际公认标准。所有细节、材料及工艺水平应当满足本技术规定的要求，并须征得业主项目经理/工程师同意。</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3）其它国家或地区的官方标准和规范若能确保与规定的标准和规范等同或更好的工程质量，经业主项目经理事先审查批准后，可以采纳。</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4）中标人必须在其期望批复日前，至少提前30天向业主项目经理/工程师提交规定标准规范和推荐替代标准规范之间差异的完整书面说明。同时，中标人还应向业主项目经理/工程师提供适当证据证明替代标准和规范的适用性，提供凭证证明中标人在以往类似的工程安装中成功地运用过此类标准和规范。替代标准和规范须经业主项目经理/工程师书面同意后才能被认为是本合同下的“使用标准”。</w:t>
      </w:r>
    </w:p>
    <w:p>
      <w:pPr>
        <w:spacing w:line="440" w:lineRule="exact"/>
        <w:rPr>
          <w:rFonts w:ascii="宋体" w:hAnsi="宋体" w:cs="宋体"/>
          <w:b/>
          <w:sz w:val="24"/>
          <w:highlight w:val="none"/>
        </w:rPr>
      </w:pPr>
      <w:bookmarkStart w:id="73" w:name="_Toc353522443"/>
      <w:r>
        <w:rPr>
          <w:rFonts w:hint="eastAsia" w:ascii="宋体" w:hAnsi="宋体" w:cs="宋体"/>
          <w:b/>
          <w:sz w:val="24"/>
          <w:highlight w:val="none"/>
        </w:rPr>
        <w:t>6.3 标准的缩写</w:t>
      </w:r>
      <w:bookmarkEnd w:id="73"/>
    </w:p>
    <w:p>
      <w:pPr>
        <w:spacing w:line="440" w:lineRule="exact"/>
        <w:rPr>
          <w:rFonts w:ascii="宋体" w:hAnsi="宋体" w:cs="宋体"/>
          <w:b/>
          <w:sz w:val="24"/>
          <w:highlight w:val="none"/>
        </w:rPr>
      </w:pPr>
      <w:r>
        <w:rPr>
          <w:rFonts w:hint="eastAsia" w:ascii="宋体" w:hAnsi="宋体" w:cs="宋体"/>
          <w:b/>
          <w:sz w:val="24"/>
          <w:highlight w:val="none"/>
        </w:rPr>
        <w:t>6.3.1本文所用缩写含义如下：</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1）国内/国际标准</w:t>
      </w:r>
    </w:p>
    <w:tbl>
      <w:tblPr>
        <w:tblStyle w:val="33"/>
        <w:tblW w:w="0" w:type="auto"/>
        <w:tblInd w:w="1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GB</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中国国家标准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GBJ</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中国国家建设标准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HG</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中国化工行业标准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JB</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中国机械行业标准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JC</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中国建材行业标准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CJ</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中国城市建设行业标准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SD</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中国原水利电力标准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SL</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中国水利行业标准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TJ</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中国国家建设部标准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YB</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中国黑色冶金行业标准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ZB</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中国原国家专业标准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CECS</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中国工程建设标准化协会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ISO</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国际标准化组织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IEC</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国际电工协会</w:t>
            </w:r>
          </w:p>
        </w:tc>
      </w:tr>
    </w:tbl>
    <w:p>
      <w:pPr>
        <w:spacing w:line="440" w:lineRule="exact"/>
        <w:ind w:firstLine="480" w:firstLineChars="200"/>
        <w:rPr>
          <w:rFonts w:ascii="宋体" w:hAnsi="宋体" w:cs="宋体"/>
          <w:sz w:val="24"/>
          <w:highlight w:val="none"/>
        </w:rPr>
      </w:pPr>
      <w:r>
        <w:rPr>
          <w:rFonts w:hint="eastAsia" w:ascii="宋体" w:hAnsi="宋体" w:cs="宋体"/>
          <w:sz w:val="24"/>
          <w:highlight w:val="none"/>
        </w:rPr>
        <w:t>2）日本、美国标准</w:t>
      </w:r>
    </w:p>
    <w:tbl>
      <w:tblPr>
        <w:tblStyle w:val="33"/>
        <w:tblW w:w="0" w:type="auto"/>
        <w:tblInd w:w="1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JIS</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日本工业标准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AGMA</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美国齿轮制造商协会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ASTM</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美国试验与材料协会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ANSI</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美国标准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AISI</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美国钢铁协会</w:t>
            </w:r>
          </w:p>
        </w:tc>
      </w:tr>
    </w:tbl>
    <w:p>
      <w:pPr>
        <w:spacing w:line="440" w:lineRule="exact"/>
        <w:ind w:firstLine="480" w:firstLineChars="200"/>
        <w:rPr>
          <w:rFonts w:ascii="宋体" w:hAnsi="宋体" w:cs="宋体"/>
          <w:sz w:val="24"/>
          <w:highlight w:val="none"/>
        </w:rPr>
      </w:pPr>
      <w:r>
        <w:rPr>
          <w:rFonts w:hint="eastAsia" w:ascii="宋体" w:hAnsi="宋体" w:cs="宋体"/>
          <w:sz w:val="24"/>
          <w:highlight w:val="none"/>
        </w:rPr>
        <w:t>3）欧洲标准</w:t>
      </w:r>
    </w:p>
    <w:tbl>
      <w:tblPr>
        <w:tblStyle w:val="33"/>
        <w:tblW w:w="0" w:type="auto"/>
        <w:tblInd w:w="1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DIN</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德国标准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EN</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欧盟标准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VDI</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国际通风机械协会标准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BS</w:t>
            </w:r>
          </w:p>
        </w:tc>
        <w:tc>
          <w:tcPr>
            <w:tcW w:w="4410" w:type="dxa"/>
          </w:tcPr>
          <w:p>
            <w:pPr>
              <w:spacing w:line="440" w:lineRule="exact"/>
              <w:ind w:firstLine="480" w:firstLineChars="200"/>
              <w:rPr>
                <w:rFonts w:ascii="宋体" w:hAnsi="宋体" w:cs="宋体"/>
                <w:sz w:val="24"/>
                <w:highlight w:val="none"/>
              </w:rPr>
            </w:pPr>
            <w:r>
              <w:rPr>
                <w:rFonts w:hint="eastAsia" w:ascii="宋体" w:hAnsi="宋体" w:cs="宋体"/>
                <w:sz w:val="24"/>
                <w:highlight w:val="none"/>
              </w:rPr>
              <w:t>英国标准</w:t>
            </w:r>
          </w:p>
        </w:tc>
      </w:tr>
    </w:tbl>
    <w:p>
      <w:pPr>
        <w:spacing w:line="440" w:lineRule="exact"/>
        <w:ind w:firstLine="482" w:firstLineChars="200"/>
        <w:rPr>
          <w:rFonts w:ascii="宋体" w:hAnsi="宋体" w:cs="宋体"/>
          <w:sz w:val="24"/>
          <w:highlight w:val="none"/>
        </w:rPr>
      </w:pPr>
      <w:r>
        <w:rPr>
          <w:rFonts w:hint="eastAsia" w:ascii="宋体" w:hAnsi="宋体" w:cs="宋体"/>
          <w:b/>
          <w:bCs/>
          <w:sz w:val="24"/>
          <w:highlight w:val="none"/>
        </w:rPr>
        <w:t xml:space="preserve">6.3.2 </w:t>
      </w:r>
      <w:r>
        <w:rPr>
          <w:rFonts w:hint="eastAsia" w:ascii="宋体" w:hAnsi="宋体" w:cs="宋体"/>
          <w:sz w:val="24"/>
          <w:highlight w:val="none"/>
        </w:rPr>
        <w:t>在文字中或图纸中带有S、G、ZQ、GG、DJ等前缀的设计标准和方法为中国的标准设计和安装方法。</w:t>
      </w:r>
    </w:p>
    <w:p>
      <w:pPr>
        <w:pStyle w:val="7"/>
        <w:rPr>
          <w:rFonts w:ascii="宋体" w:hAnsi="宋体" w:cs="宋体"/>
          <w:sz w:val="24"/>
          <w:szCs w:val="24"/>
          <w:highlight w:val="none"/>
        </w:rPr>
      </w:pPr>
      <w:bookmarkStart w:id="74" w:name="_Toc16116"/>
      <w:bookmarkStart w:id="75" w:name="_Toc353522444"/>
      <w:bookmarkStart w:id="76" w:name="_Toc356336095"/>
      <w:bookmarkStart w:id="77" w:name="_Toc40254111"/>
      <w:r>
        <w:rPr>
          <w:rFonts w:hint="eastAsia" w:ascii="宋体" w:hAnsi="宋体" w:cs="宋体"/>
          <w:sz w:val="24"/>
          <w:szCs w:val="24"/>
          <w:highlight w:val="none"/>
        </w:rPr>
        <w:t>7、质量保证</w:t>
      </w:r>
      <w:bookmarkEnd w:id="74"/>
      <w:bookmarkEnd w:id="75"/>
      <w:bookmarkEnd w:id="76"/>
      <w:bookmarkEnd w:id="77"/>
      <w:r>
        <w:rPr>
          <w:rFonts w:hint="eastAsia" w:ascii="宋体" w:hAnsi="宋体" w:cs="宋体"/>
          <w:sz w:val="24"/>
          <w:szCs w:val="24"/>
          <w:highlight w:val="none"/>
        </w:rPr>
        <w:t xml:space="preserve"> </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1) 质量目标</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本系统工程各道工序完成后必须现行国家建设工程验收标准中的合格等级。中标人必须严格按合同条款、施工图纸及设计说明文件、施工验收规范、国家和省市的有关质量评定验收标准，精心组织施工，确保工程质量。</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 投标人必须保证根据本招标文件提供的设备、软件等，满足招标文件中要求的性能和特性。</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 招标人有权拒绝使用那些被发现有缺陷的或与招标文件要求不符的设备或零件，这些设备或零件由投标人修好或更换，招标人不担负所增加的费用。招标人有权拒绝使用修复的设备或零件。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4) 投标人必须保证在合同规定保证期内，对各设备保养，并实施至少两次整体检查。保证期间如在正常操作情况下，任何机件因设计（设备设计）不当、材质缺陷或制造欠佳等因素而发生故障，投标人应在接到通知后，毫不拖延地负责修复或更换至顺利运转并赔偿招标人遭受的损失。如投标人未在规定的期限内修复或更换，招标人有权自行处理，其费用应由投标人负责赔偿，不得异议。</w:t>
      </w:r>
    </w:p>
    <w:p>
      <w:pPr>
        <w:pStyle w:val="7"/>
        <w:rPr>
          <w:rFonts w:ascii="宋体" w:hAnsi="宋体" w:cs="宋体"/>
          <w:sz w:val="24"/>
          <w:szCs w:val="24"/>
          <w:highlight w:val="none"/>
        </w:rPr>
      </w:pPr>
      <w:bookmarkStart w:id="78" w:name="_Toc353522445"/>
      <w:bookmarkStart w:id="79" w:name="_Toc40254112"/>
      <w:bookmarkStart w:id="80" w:name="_Toc30829"/>
      <w:bookmarkStart w:id="81" w:name="_Toc356336096"/>
      <w:r>
        <w:rPr>
          <w:rFonts w:hint="eastAsia" w:ascii="宋体" w:hAnsi="宋体" w:cs="宋体"/>
          <w:sz w:val="24"/>
          <w:szCs w:val="24"/>
          <w:highlight w:val="none"/>
        </w:rPr>
        <w:t>8、系统软件</w:t>
      </w:r>
      <w:bookmarkEnd w:id="78"/>
      <w:bookmarkEnd w:id="79"/>
      <w:bookmarkEnd w:id="80"/>
      <w:bookmarkEnd w:id="81"/>
    </w:p>
    <w:p>
      <w:pPr>
        <w:spacing w:line="440" w:lineRule="exact"/>
        <w:ind w:firstLine="480" w:firstLineChars="200"/>
        <w:rPr>
          <w:rFonts w:ascii="宋体" w:hAnsi="宋体" w:cs="宋体"/>
          <w:sz w:val="24"/>
          <w:highlight w:val="none"/>
        </w:rPr>
      </w:pPr>
      <w:r>
        <w:rPr>
          <w:rFonts w:hint="eastAsia" w:ascii="宋体" w:hAnsi="宋体" w:cs="宋体"/>
          <w:sz w:val="24"/>
          <w:highlight w:val="none"/>
        </w:rPr>
        <w:t xml:space="preserve">1) 投标人应当对招标文件规定的一切专 利费和执照费承担责任，并且负责保护招标人不受任何损害。一切由执照费、文字和专 利侵权的申诉，或者由使用设备和工艺结构特征、元件的排列所引起的法律裁决、诉讼和费用与招标人无关。本合同所规定的付款，应当视作包括了专 利费、执照费和其它这方面的费用。 </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 设备采用的专利涉及到的全部费用均被认为已包含在设备费用之内，投标商应保证买方不承担有关设备专利的一切责任。</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3) 系统所用到的软件必须具有软件生产商的使用许可证，招标人不接受任何形式的盗版软件。如果投标人提供了盗版软件，一经发现应立即进行更换。对于造成的损失，应按照索赔条款赔偿。</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4) 保证所有供货软件均享受终身无限次免费升级。提供原版软件、操作手册、编程手册。提供必要的开发软件和运行软件，并提供必要的开发锁和运行锁。最终程序做成软盘和光盘提供给招标人。</w:t>
      </w:r>
    </w:p>
    <w:p>
      <w:pPr>
        <w:pStyle w:val="7"/>
        <w:rPr>
          <w:rFonts w:ascii="宋体" w:hAnsi="宋体" w:cs="宋体"/>
          <w:sz w:val="24"/>
          <w:szCs w:val="24"/>
          <w:highlight w:val="none"/>
        </w:rPr>
      </w:pPr>
      <w:bookmarkStart w:id="82" w:name="_Toc40254113"/>
      <w:bookmarkStart w:id="83" w:name="_Toc356336097"/>
      <w:bookmarkStart w:id="84" w:name="_Toc353522446"/>
      <w:bookmarkStart w:id="85" w:name="_Toc9728"/>
      <w:r>
        <w:rPr>
          <w:rFonts w:hint="eastAsia" w:ascii="宋体" w:hAnsi="宋体" w:cs="宋体"/>
          <w:sz w:val="24"/>
          <w:szCs w:val="24"/>
          <w:highlight w:val="none"/>
        </w:rPr>
        <w:t>9、安装、试车、通水调试、性能考核及验收</w:t>
      </w:r>
      <w:bookmarkEnd w:id="82"/>
      <w:bookmarkEnd w:id="83"/>
      <w:bookmarkEnd w:id="84"/>
    </w:p>
    <w:bookmarkEnd w:id="85"/>
    <w:p>
      <w:pPr>
        <w:spacing w:line="440" w:lineRule="exact"/>
        <w:ind w:firstLine="480" w:firstLineChars="200"/>
        <w:rPr>
          <w:rFonts w:ascii="宋体" w:hAnsi="宋体" w:cs="宋体"/>
          <w:sz w:val="24"/>
          <w:highlight w:val="none"/>
        </w:rPr>
      </w:pPr>
      <w:r>
        <w:rPr>
          <w:rFonts w:hint="eastAsia" w:ascii="宋体" w:hAnsi="宋体" w:cs="宋体"/>
          <w:sz w:val="24"/>
          <w:highlight w:val="none"/>
        </w:rPr>
        <w:t>投标人应派具备5年以上丰富经验的工程技术人员到现场，在招标人的组织安排下，负责完成安装、试车、通水、调试的工作。</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1) 当设备安装工作和可能需要的试压工作完成后，双方现场总代表和监理工程师应一同检验设备。如果双方代表认为安装工作完全符合技术文件的要求，并经监理工程师批准试车方案，即可进行机械试车。机械试车、设备性能检测应符合招标文件的要求。</w:t>
      </w:r>
    </w:p>
    <w:p>
      <w:pPr>
        <w:spacing w:line="440" w:lineRule="exact"/>
        <w:rPr>
          <w:rFonts w:ascii="宋体" w:hAnsi="宋体" w:cs="宋体"/>
          <w:sz w:val="24"/>
          <w:highlight w:val="none"/>
        </w:rPr>
      </w:pPr>
      <w:r>
        <w:rPr>
          <w:rFonts w:hint="eastAsia" w:ascii="宋体" w:hAnsi="宋体" w:cs="宋体"/>
          <w:sz w:val="24"/>
          <w:highlight w:val="none"/>
        </w:rPr>
        <w:t xml:space="preserve">    2) 安装和测试完全符合规范要求时，经监理工程师批准即可确定进行调试。在进行调试之前，投标人应提交详细的调试及性能考核项目进度安排表，并经现场双方总代表和监理工程师讨论后决定。招标人配备可进行操作、维修及试验的各种人员，提供原料、电力及其它公用设施。 </w:t>
      </w:r>
    </w:p>
    <w:p>
      <w:pPr>
        <w:spacing w:line="440" w:lineRule="exact"/>
        <w:rPr>
          <w:rFonts w:ascii="宋体" w:hAnsi="宋体" w:cs="宋体"/>
          <w:sz w:val="24"/>
          <w:highlight w:val="none"/>
        </w:rPr>
      </w:pPr>
      <w:r>
        <w:rPr>
          <w:rFonts w:hint="eastAsia" w:ascii="宋体" w:hAnsi="宋体" w:cs="宋体"/>
          <w:sz w:val="24"/>
          <w:highlight w:val="none"/>
        </w:rPr>
        <w:t xml:space="preserve">    3) 在调试过程中发现设备性能与原定技术要求不符时，应由投标人负责解决。整个调试工作经招标人和监理工程师验收，认为符合设计要求，可根据合同有关条款，并且安装资料已提交完毕，方可签署设备验收合格证。 </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4)当整个工程全部竣工并交付使用之前，投标人应向招标人提交仪表自控系统的全部最终技术文件，最终技术文件的内容至少应包括下各项：</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a) 经修改后的竣工技术文件。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b) 各个项目的竣工试验报告，测试记录。</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c) 电气控制、仪表PLC系统配管、配线图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d) 仪表检测系统硬件、软件配置图、接线原理图。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e) 电气控制柜、PLC柜内部布置图、端子图、外部接线图。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f) 污水处理系统控制功能图。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 控制电源系统图。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h) 电气、自动化仪表安装示意图。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i) 各仪表参数设置配置表</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g) 电气、自控及仪表系统接地布置图</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k) 其它与本工程竣工有关的一切资料和图纸。</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5) 测试及检验</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投标人应对所供的单个设备或单个系统按合同约定方式进行干态(空载)、冷态(用清水代替)试运行，证明并确认所有设备及系统达到所规定的性能要求，可以进行下一步的调试。在测试过程中，如发现设备性能与原定要求有所偏移时，应由投标人负责解决，直至符合招标人的要求为止，投标人还应配合电气系统、工艺设备完成测试及检验。</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6) 预调试</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a) 本合同包的联动调试要在全面测试及检验合格后进行，全厂联动调试过程中由工艺设备、电气设备、自控设备投标人配合完成。调试的目的是检查各项设备协调工作情况，调整各处理单元的工况以及控制系统的各项参数，使系统达到设计的处理效率。</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b) 投标人调试步骤如下：</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第一步用设计介质(污水污泥)进行联动试车，工艺设备投标人负责工艺处理的试运行，电气设备投标人负责电气设备的试运行，自控设备投标人负责自控系统、仪表设备的试运行，直至满足性能要求，最终进行全厂联动试车。</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第二步试运行稳定后，进行活性污泥培养，生物池运行稳定二周后进入下一步。</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第三步进行功能保证测试。</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投标人在生产地和(或)现场对仪器和设备以及工程各部分进行所有合同中规定的测试和检验，其一切费用由投标人负责。</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7) 试运行</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投标人应本工程所提供设备的试运行负责，直至能符合规定的技术性能指标，正常地投入生产试运行，并参与细菌培养以及投运，直到污水处理达到出厂水排放标准。</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8) 验收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产品保护：工程完成后，投标人须负责全部设备的保护和清洁工作至项目验收合格并正式运转168小时为止。</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验收合格条件：</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a) 整个系统试运行时性能满足要求。</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b) 整个系统性能测试和试运行验收时出现的问题已被解决至满足合同条款要求。</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c) 已提供了合同的全部货物和资料。</w:t>
      </w:r>
    </w:p>
    <w:p>
      <w:pPr>
        <w:pStyle w:val="7"/>
        <w:rPr>
          <w:rFonts w:ascii="宋体" w:hAnsi="宋体" w:cs="宋体"/>
          <w:sz w:val="24"/>
          <w:szCs w:val="24"/>
          <w:highlight w:val="none"/>
        </w:rPr>
      </w:pPr>
      <w:bookmarkStart w:id="86" w:name="_Toc40254114"/>
      <w:bookmarkStart w:id="87" w:name="_Toc356336098"/>
      <w:bookmarkStart w:id="88" w:name="_Toc353522447"/>
      <w:bookmarkStart w:id="89" w:name="_Toc14587"/>
      <w:r>
        <w:rPr>
          <w:rFonts w:hint="eastAsia" w:ascii="宋体" w:hAnsi="宋体" w:cs="宋体"/>
          <w:sz w:val="24"/>
          <w:szCs w:val="24"/>
          <w:highlight w:val="none"/>
        </w:rPr>
        <w:t>10、备品备件及消耗品</w:t>
      </w:r>
      <w:bookmarkEnd w:id="86"/>
      <w:bookmarkEnd w:id="87"/>
      <w:bookmarkEnd w:id="88"/>
      <w:bookmarkEnd w:id="89"/>
    </w:p>
    <w:p>
      <w:pPr>
        <w:spacing w:line="440" w:lineRule="exact"/>
        <w:ind w:firstLine="480" w:firstLineChars="200"/>
        <w:rPr>
          <w:rFonts w:ascii="宋体" w:hAnsi="宋体" w:cs="宋体"/>
          <w:sz w:val="24"/>
          <w:highlight w:val="none"/>
        </w:rPr>
      </w:pPr>
      <w:r>
        <w:rPr>
          <w:rFonts w:hint="eastAsia" w:ascii="宋体" w:hAnsi="宋体" w:cs="宋体"/>
          <w:sz w:val="24"/>
          <w:highlight w:val="none"/>
        </w:rPr>
        <w:t>提供所有招标设备的备品备件及消耗品（包括试剂）是投标人的责任.</w:t>
      </w:r>
    </w:p>
    <w:p>
      <w:pPr>
        <w:spacing w:line="440" w:lineRule="exact"/>
        <w:rPr>
          <w:rFonts w:ascii="宋体" w:hAnsi="宋体" w:cs="宋体"/>
          <w:sz w:val="24"/>
          <w:highlight w:val="none"/>
        </w:rPr>
      </w:pPr>
      <w:r>
        <w:rPr>
          <w:rFonts w:hint="eastAsia" w:ascii="宋体" w:hAnsi="宋体" w:cs="宋体"/>
          <w:sz w:val="24"/>
          <w:highlight w:val="none"/>
        </w:rPr>
        <w:t>1）承包商应提供制造厂家的随机备件表，其中在线仪表试剂按一年使用量配备，并包含在其设备的报价中。</w:t>
      </w:r>
    </w:p>
    <w:p>
      <w:pPr>
        <w:spacing w:line="440" w:lineRule="exact"/>
        <w:rPr>
          <w:rFonts w:ascii="宋体" w:hAnsi="宋体" w:cs="宋体"/>
          <w:sz w:val="24"/>
          <w:highlight w:val="none"/>
        </w:rPr>
      </w:pPr>
      <w:r>
        <w:rPr>
          <w:rFonts w:hint="eastAsia" w:ascii="宋体" w:hAnsi="宋体" w:cs="宋体"/>
          <w:sz w:val="24"/>
          <w:highlight w:val="none"/>
        </w:rPr>
        <w:t>2）承包商应按备件清单所列的设备备件，逐一列出报价，计入总价。</w:t>
      </w:r>
    </w:p>
    <w:p>
      <w:pPr>
        <w:spacing w:line="440" w:lineRule="exact"/>
        <w:rPr>
          <w:rFonts w:ascii="宋体" w:hAnsi="宋体" w:cs="宋体"/>
          <w:sz w:val="24"/>
          <w:highlight w:val="none"/>
        </w:rPr>
      </w:pPr>
      <w:r>
        <w:rPr>
          <w:rFonts w:hint="eastAsia" w:ascii="宋体" w:hAnsi="宋体" w:cs="宋体"/>
          <w:sz w:val="24"/>
          <w:highlight w:val="none"/>
        </w:rPr>
        <w:t>3）承包商应提供设备推荐备品备件，逐一列出报价，供业主选择，不计入总价。</w:t>
      </w:r>
    </w:p>
    <w:p>
      <w:pPr>
        <w:spacing w:line="440" w:lineRule="exact"/>
        <w:rPr>
          <w:rFonts w:ascii="宋体" w:hAnsi="宋体" w:cs="宋体"/>
          <w:sz w:val="24"/>
          <w:highlight w:val="none"/>
        </w:rPr>
      </w:pPr>
      <w:r>
        <w:rPr>
          <w:rFonts w:hint="eastAsia" w:ascii="宋体" w:hAnsi="宋体" w:cs="宋体"/>
          <w:sz w:val="24"/>
          <w:highlight w:val="none"/>
        </w:rPr>
        <w:t>4）所有备品备件应是全新的、未使用过的，并与所需更换的零件完全吻合。这些备品备件都要进行防腐处理，仔细包装，要满足在高温、高湿环境中长期储存的要求。在包装外面应注明备品备件的名称和编号，以便在不打开包装的情况下辩认。</w:t>
      </w:r>
    </w:p>
    <w:p>
      <w:pPr>
        <w:pStyle w:val="7"/>
        <w:rPr>
          <w:rFonts w:ascii="宋体" w:hAnsi="宋体" w:cs="宋体"/>
          <w:sz w:val="24"/>
          <w:szCs w:val="24"/>
          <w:highlight w:val="none"/>
        </w:rPr>
      </w:pPr>
      <w:bookmarkStart w:id="90" w:name="_Toc40254115"/>
      <w:bookmarkStart w:id="91" w:name="_Toc28639"/>
      <w:bookmarkStart w:id="92" w:name="_Toc356336099"/>
      <w:bookmarkStart w:id="93" w:name="_Toc353522448"/>
      <w:r>
        <w:rPr>
          <w:rFonts w:hint="eastAsia" w:ascii="宋体" w:hAnsi="宋体" w:cs="宋体"/>
          <w:sz w:val="24"/>
          <w:szCs w:val="24"/>
          <w:highlight w:val="none"/>
        </w:rPr>
        <w:t>11、人员培训</w:t>
      </w:r>
      <w:bookmarkEnd w:id="90"/>
      <w:bookmarkEnd w:id="91"/>
      <w:bookmarkEnd w:id="92"/>
      <w:bookmarkEnd w:id="93"/>
    </w:p>
    <w:p>
      <w:pPr>
        <w:spacing w:line="440" w:lineRule="exact"/>
        <w:ind w:firstLine="480" w:firstLineChars="200"/>
        <w:rPr>
          <w:rFonts w:ascii="宋体" w:hAnsi="宋体" w:cs="宋体"/>
          <w:sz w:val="24"/>
          <w:highlight w:val="none"/>
        </w:rPr>
      </w:pPr>
      <w:r>
        <w:rPr>
          <w:rFonts w:hint="eastAsia" w:ascii="宋体" w:hAnsi="宋体" w:cs="宋体"/>
          <w:sz w:val="24"/>
          <w:highlight w:val="none"/>
        </w:rPr>
        <w:t>为了使工程能在接收后正常地进行操作和测试。中标人应根据本合同以及招标人批准的培训计划负责对招标人的运行操作人员进行系统设备知识、运行管理、系统设备的操作、编程和维修方面的培训。</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培训包括招标人的运行操作人员到中标人的设备制造厂或培训中心等参加培训，也包括中标人在现场，对招标人的操作人员进行设备的操作、维护、保养等方面的培训，以保证操作人员能掌握本合同内设备的操作、编程、维护保养、检修及实际运行操作，并负责培训到操作人员完全胜任为止。</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投标人提供必要的工作条件，满足招标人的培训人员参与和培训计划有关的全部操作项目的培训，使之能理解并胜任对整个运行系统和设备的操作、检验、调节、质量控制及保养维修工作。</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中标人派出的培训人员，应具有3年以上的运行经验。培训人员的简历连同培训计划一并提交招标人，招标人认为培训人员不合格可要求更换。</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中标人应至少在培训前一个月编写好培训计划及培训手册并取得招标人的批准。</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投标人应按照经招标人批准的培训计划对招标人所指派的操作人员进行有关合同内设备的测试、操作和维修方面的培训，并解释和技术有关的一切问题，培训应涵盖自控系统硬件及软件。培训包括讲课、操作示范、参观、实际操作和其他指导，使操作人员能对合同内的所有装置的特性、结构、操作要求和维修要求获得全面的了解和基本掌握。培训分两部分举行——制造工厂或培训中心培训、现场培训。</w:t>
      </w:r>
    </w:p>
    <w:p>
      <w:pPr>
        <w:spacing w:line="440" w:lineRule="exact"/>
        <w:rPr>
          <w:rFonts w:ascii="宋体" w:hAnsi="宋体" w:cs="宋体"/>
          <w:b/>
          <w:bCs/>
          <w:sz w:val="24"/>
          <w:highlight w:val="none"/>
        </w:rPr>
      </w:pPr>
      <w:r>
        <w:rPr>
          <w:rFonts w:hint="eastAsia" w:ascii="宋体" w:hAnsi="宋体" w:cs="宋体"/>
          <w:b/>
          <w:bCs/>
          <w:sz w:val="24"/>
          <w:highlight w:val="none"/>
        </w:rPr>
        <w:t>11.1 培训中心培训：</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招标人派往培训中心培训的运行操作人员为2人，投标人应安排至少2周（10个工作日）或以上的的自控系统、网络系统以及维护编程培训。培训内容应包括但不限于以下内容：</w:t>
      </w:r>
    </w:p>
    <w:p>
      <w:pPr>
        <w:spacing w:line="440" w:lineRule="exact"/>
        <w:rPr>
          <w:rFonts w:ascii="宋体" w:hAnsi="宋体" w:cs="宋体"/>
          <w:sz w:val="24"/>
          <w:highlight w:val="none"/>
        </w:rPr>
      </w:pPr>
      <w:r>
        <w:rPr>
          <w:rFonts w:hint="eastAsia" w:ascii="宋体" w:hAnsi="宋体" w:cs="宋体"/>
          <w:sz w:val="24"/>
          <w:highlight w:val="none"/>
        </w:rPr>
        <w:t xml:space="preserve">    a)通过介绍厂区现场控制站PLC相关产品和控制系统的基本结构。使受培训人员掌握PLC产品的功能、选型和系统配置；学会使用编程软件进行在线组态和编程；掌握基本指令的运用；了解组态网络通讯，使受培训人员能正确地配置、组态、和使用现场控制站PLC控制系统, 并具有完成基本的系统维护和故障处理的能力。</w:t>
      </w:r>
    </w:p>
    <w:p>
      <w:pPr>
        <w:spacing w:line="440" w:lineRule="exact"/>
        <w:rPr>
          <w:rFonts w:ascii="宋体" w:hAnsi="宋体" w:cs="宋体"/>
          <w:sz w:val="24"/>
          <w:highlight w:val="none"/>
        </w:rPr>
      </w:pPr>
      <w:r>
        <w:rPr>
          <w:rFonts w:hint="eastAsia" w:ascii="宋体" w:hAnsi="宋体" w:cs="宋体"/>
          <w:sz w:val="24"/>
          <w:highlight w:val="none"/>
        </w:rPr>
        <w:t xml:space="preserve">    B)通过介绍现场总线及工业以太网网络的硬件和软件知识。使得被培训人员掌握从选择正确的网络媒介质开始，直至设计一个网络系统，组态和运行一个高效控制网络, 并组态设备间的连接传送数据的能力。并具有基本的网络系统维护和故障处理能力。 </w:t>
      </w:r>
    </w:p>
    <w:p>
      <w:pPr>
        <w:spacing w:line="440" w:lineRule="exact"/>
        <w:rPr>
          <w:rFonts w:ascii="宋体" w:hAnsi="宋体" w:cs="宋体"/>
          <w:sz w:val="24"/>
          <w:highlight w:val="none"/>
        </w:rPr>
      </w:pPr>
      <w:r>
        <w:rPr>
          <w:rFonts w:hint="eastAsia" w:ascii="宋体" w:hAnsi="宋体" w:cs="宋体"/>
          <w:sz w:val="24"/>
          <w:highlight w:val="none"/>
        </w:rPr>
        <w:t xml:space="preserve">    C)通过介绍上位SCADA组态软件的各种功能和特性以及编程方法，使得受培训人员了解上位SCADA组态软件的系统结构和安装过程，可以独立添加和组态画面，创建并修改标签，创建和组态基本动画对象，组态系统安全设置，创建数据日志记录和趋势图，组态报警功能；数据库的维护及修改、图表生成等符合用户要求的上位机应用。并具有基本的系统维护和故障处理能力。</w:t>
      </w:r>
    </w:p>
    <w:p>
      <w:pPr>
        <w:spacing w:line="440" w:lineRule="exact"/>
        <w:rPr>
          <w:rFonts w:ascii="宋体" w:hAnsi="宋体" w:cs="宋体"/>
          <w:b/>
          <w:bCs/>
          <w:sz w:val="24"/>
          <w:highlight w:val="none"/>
        </w:rPr>
      </w:pPr>
      <w:r>
        <w:rPr>
          <w:rFonts w:hint="eastAsia" w:ascii="宋体" w:hAnsi="宋体" w:cs="宋体"/>
          <w:b/>
          <w:bCs/>
          <w:sz w:val="24"/>
          <w:highlight w:val="none"/>
        </w:rPr>
        <w:t>11.2 现场培训应包括但不限于以下内容：</w:t>
      </w:r>
    </w:p>
    <w:p>
      <w:pPr>
        <w:spacing w:line="440" w:lineRule="exact"/>
        <w:rPr>
          <w:rFonts w:ascii="宋体" w:hAnsi="宋体" w:cs="宋体"/>
          <w:sz w:val="24"/>
          <w:highlight w:val="none"/>
        </w:rPr>
      </w:pPr>
      <w:r>
        <w:rPr>
          <w:rFonts w:hint="eastAsia" w:ascii="宋体" w:hAnsi="宋体" w:cs="宋体"/>
          <w:sz w:val="24"/>
          <w:highlight w:val="none"/>
        </w:rPr>
        <w:t xml:space="preserve">    a) 至少2周（10个工作日）的培训、包括厂区自动控制系统、操作应用和常见问题处理等。以及在线检测仪器的校准和维护等；以及PLC编程软件、上位机组态软件的常见问题处理、重新安装恢复等。</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培训中所发生的交通费、住宿费、餐饮费、培训费以及教材、试验所需一切费用（包括招标人派运行操作人员到制造工厂或培训中心培训所需的，也包括中标人培训人员到异地或现场所需的一切费用）均由中标人承担，投标人应在报价中包括该部分费用，并记入本合同总报价内。</w:t>
      </w:r>
    </w:p>
    <w:p>
      <w:pPr>
        <w:pStyle w:val="7"/>
        <w:rPr>
          <w:rFonts w:ascii="宋体" w:hAnsi="宋体" w:cs="宋体"/>
          <w:sz w:val="24"/>
          <w:szCs w:val="24"/>
          <w:highlight w:val="none"/>
        </w:rPr>
      </w:pPr>
      <w:bookmarkStart w:id="94" w:name="_Toc40254116"/>
      <w:bookmarkStart w:id="95" w:name="_Toc353522449"/>
      <w:bookmarkStart w:id="96" w:name="_Toc356336100"/>
      <w:bookmarkStart w:id="97" w:name="_Toc29417"/>
      <w:r>
        <w:rPr>
          <w:rFonts w:hint="eastAsia" w:ascii="宋体" w:hAnsi="宋体" w:cs="宋体"/>
          <w:sz w:val="24"/>
          <w:szCs w:val="24"/>
          <w:highlight w:val="none"/>
        </w:rPr>
        <w:t>12、技术服务</w:t>
      </w:r>
      <w:bookmarkEnd w:id="94"/>
      <w:bookmarkEnd w:id="95"/>
      <w:bookmarkEnd w:id="96"/>
      <w:bookmarkEnd w:id="97"/>
    </w:p>
    <w:p>
      <w:pPr>
        <w:spacing w:line="440" w:lineRule="exact"/>
        <w:ind w:firstLine="480" w:firstLineChars="200"/>
        <w:rPr>
          <w:rFonts w:ascii="宋体" w:hAnsi="宋体" w:cs="宋体"/>
          <w:sz w:val="24"/>
          <w:highlight w:val="none"/>
        </w:rPr>
      </w:pPr>
      <w:r>
        <w:rPr>
          <w:rFonts w:hint="eastAsia" w:ascii="宋体" w:hAnsi="宋体" w:cs="宋体"/>
          <w:sz w:val="24"/>
          <w:highlight w:val="none"/>
        </w:rPr>
        <w:t>1) 投标人在设备安装、调试及试运行期间，必须有1名现场技术人员负责与招标人联系工作。在没有得到招标人同意，不得更换、撤走任何现场技术人员。</w:t>
      </w:r>
    </w:p>
    <w:p>
      <w:pPr>
        <w:spacing w:line="440" w:lineRule="exact"/>
        <w:ind w:firstLine="480" w:firstLineChars="200"/>
        <w:rPr>
          <w:rFonts w:ascii="宋体" w:hAnsi="宋体" w:cs="宋体"/>
          <w:sz w:val="24"/>
          <w:highlight w:val="none"/>
        </w:rPr>
      </w:pPr>
      <w:r>
        <w:rPr>
          <w:rFonts w:hint="eastAsia" w:ascii="宋体" w:hAnsi="宋体" w:cs="宋体"/>
          <w:sz w:val="24"/>
          <w:highlight w:val="none"/>
        </w:rPr>
        <w:t>2) 投标人必须派送合格的技术人员，对合同所提供的设备进行试运行技术工作，直至设备能符合规定的技术性能指标，正常的投入生产性运行为止。</w:t>
      </w:r>
    </w:p>
    <w:p>
      <w:pPr>
        <w:pStyle w:val="2"/>
        <w:ind w:firstLine="480" w:firstLineChars="200"/>
        <w:rPr>
          <w:rFonts w:ascii="宋体" w:hAnsi="宋体" w:cs="宋体"/>
          <w:sz w:val="24"/>
          <w:highlight w:val="none"/>
        </w:rPr>
      </w:pPr>
      <w:r>
        <w:rPr>
          <w:rFonts w:hint="eastAsia" w:ascii="宋体" w:hAnsi="宋体" w:cs="宋体"/>
          <w:sz w:val="24"/>
          <w:highlight w:val="none"/>
        </w:rPr>
        <w:t>3) 投标人应当保证所有提供的设备，在制造上以及元器件上都是符合标准规定的，除招标文件另有规定外。在设备质保期内，如发现隐害或质量问题时，投标人应毫不拖延地修复，不能修复的予以更换，使其符合规定要求。其费用由投标人负责。如因其危害带来的损失或由此引起的其它损失，其费用也应由投标人负责。</w:t>
      </w:r>
    </w:p>
    <w:p>
      <w:pPr>
        <w:pStyle w:val="20"/>
        <w:ind w:left="0" w:leftChars="0"/>
        <w:rPr>
          <w:rStyle w:val="38"/>
          <w:highlight w:val="none"/>
        </w:rPr>
      </w:pPr>
      <w:bookmarkStart w:id="98" w:name="_Toc31894"/>
      <w:bookmarkStart w:id="99" w:name="_Toc40254117"/>
    </w:p>
    <w:p>
      <w:pPr>
        <w:pStyle w:val="28"/>
        <w:spacing w:before="75" w:beforeAutospacing="0" w:after="75" w:afterAutospacing="0"/>
        <w:jc w:val="center"/>
        <w:outlineLvl w:val="1"/>
        <w:rPr>
          <w:rStyle w:val="38"/>
          <w:bCs w:val="0"/>
          <w:highlight w:val="none"/>
        </w:rPr>
      </w:pPr>
      <w:r>
        <w:rPr>
          <w:rStyle w:val="38"/>
          <w:rFonts w:hint="eastAsia"/>
          <w:highlight w:val="none"/>
        </w:rPr>
        <w:t>三、</w:t>
      </w:r>
      <w:r>
        <w:rPr>
          <w:rStyle w:val="38"/>
          <w:rFonts w:hint="eastAsia"/>
          <w:bCs w:val="0"/>
          <w:highlight w:val="none"/>
        </w:rPr>
        <w:t>特殊技术要求</w:t>
      </w:r>
      <w:bookmarkEnd w:id="98"/>
      <w:bookmarkEnd w:id="99"/>
    </w:p>
    <w:p>
      <w:pPr>
        <w:pStyle w:val="7"/>
        <w:rPr>
          <w:rFonts w:ascii="宋体" w:hAnsi="宋体" w:cs="宋体"/>
          <w:sz w:val="24"/>
          <w:szCs w:val="24"/>
          <w:highlight w:val="none"/>
        </w:rPr>
      </w:pPr>
      <w:bookmarkStart w:id="100" w:name="_Toc40254118"/>
      <w:r>
        <w:rPr>
          <w:rFonts w:hint="eastAsia" w:ascii="宋体" w:hAnsi="宋体" w:cs="宋体"/>
          <w:sz w:val="24"/>
          <w:szCs w:val="24"/>
          <w:highlight w:val="none"/>
        </w:rPr>
        <w:t>1、安防工程</w:t>
      </w:r>
      <w:bookmarkEnd w:id="100"/>
    </w:p>
    <w:p>
      <w:pPr>
        <w:pStyle w:val="7"/>
        <w:rPr>
          <w:rFonts w:ascii="宋体" w:hAnsi="宋体" w:cs="宋体"/>
          <w:sz w:val="24"/>
          <w:szCs w:val="24"/>
          <w:highlight w:val="none"/>
        </w:rPr>
      </w:pPr>
      <w:bookmarkStart w:id="101" w:name="_Toc40254119"/>
      <w:r>
        <w:rPr>
          <w:rStyle w:val="38"/>
          <w:rFonts w:hint="eastAsia" w:ascii="宋体" w:hAnsi="宋体" w:cs="宋体"/>
          <w:b w:val="0"/>
          <w:bCs/>
          <w:sz w:val="24"/>
          <w:szCs w:val="24"/>
          <w:highlight w:val="none"/>
        </w:rPr>
        <w:t>1.1</w:t>
      </w:r>
      <w:bookmarkStart w:id="102" w:name="_Toc298167800"/>
      <w:r>
        <w:rPr>
          <w:rFonts w:hint="eastAsia" w:ascii="宋体" w:hAnsi="宋体" w:cs="宋体"/>
          <w:sz w:val="24"/>
          <w:szCs w:val="24"/>
          <w:highlight w:val="none"/>
        </w:rPr>
        <w:t>视频监控系统特殊技术要求</w:t>
      </w:r>
      <w:bookmarkEnd w:id="101"/>
      <w:bookmarkEnd w:id="102"/>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1.1.1</w:t>
      </w:r>
      <w:bookmarkStart w:id="103" w:name="_Toc298167801"/>
      <w:r>
        <w:rPr>
          <w:rFonts w:hint="eastAsia" w:cs="宋体"/>
          <w:sz w:val="24"/>
          <w:szCs w:val="24"/>
          <w:highlight w:val="none"/>
        </w:rPr>
        <w:t>概述</w:t>
      </w:r>
      <w:bookmarkEnd w:id="103"/>
    </w:p>
    <w:p>
      <w:pPr>
        <w:spacing w:line="360" w:lineRule="auto"/>
        <w:ind w:firstLine="512" w:firstLineChars="200"/>
        <w:rPr>
          <w:rFonts w:ascii="宋体" w:hAnsi="宋体" w:cs="宋体"/>
          <w:spacing w:val="8"/>
          <w:sz w:val="24"/>
          <w:highlight w:val="none"/>
        </w:rPr>
      </w:pPr>
      <w:r>
        <w:rPr>
          <w:rFonts w:hint="eastAsia" w:ascii="宋体" w:hAnsi="宋体" w:cs="宋体"/>
          <w:spacing w:val="8"/>
          <w:sz w:val="24"/>
          <w:highlight w:val="none"/>
        </w:rPr>
        <w:t>为了直观地观察水厂内设备运行情况，进一步丰富过程监控级的功能，为调度管理提供直观的图像信息，拟建立一套视频监控系统（CCTV）。系统主要由如下三部分组成：前端视频采集设备、数据传输设备、终端显示管理设备。</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1.1.2</w:t>
      </w:r>
      <w:bookmarkStart w:id="104" w:name="_Toc298167802"/>
      <w:r>
        <w:rPr>
          <w:rFonts w:hint="eastAsia" w:cs="宋体"/>
          <w:sz w:val="24"/>
          <w:szCs w:val="24"/>
          <w:highlight w:val="none"/>
        </w:rPr>
        <w:t>前端设备</w:t>
      </w:r>
      <w:bookmarkEnd w:id="104"/>
    </w:p>
    <w:p>
      <w:pPr>
        <w:spacing w:line="360" w:lineRule="auto"/>
        <w:ind w:firstLine="512" w:firstLineChars="200"/>
        <w:rPr>
          <w:rFonts w:ascii="宋体" w:hAnsi="宋体" w:cs="宋体"/>
          <w:spacing w:val="8"/>
          <w:sz w:val="24"/>
          <w:highlight w:val="none"/>
        </w:rPr>
      </w:pPr>
      <w:r>
        <w:rPr>
          <w:rFonts w:hint="eastAsia" w:ascii="宋体" w:hAnsi="宋体" w:cs="宋体"/>
          <w:spacing w:val="8"/>
          <w:sz w:val="24"/>
          <w:highlight w:val="none"/>
        </w:rPr>
        <w:t>前端视频采集部分主要由摄像机、数字网络视频服务器以及相关辅助配套设备组成。主要完成图像的采集、编码等工作。</w:t>
      </w:r>
    </w:p>
    <w:p>
      <w:pPr>
        <w:spacing w:line="360" w:lineRule="auto"/>
        <w:ind w:firstLine="512" w:firstLineChars="200"/>
        <w:rPr>
          <w:rFonts w:ascii="宋体" w:hAnsi="宋体" w:cs="宋体"/>
          <w:spacing w:val="8"/>
          <w:sz w:val="24"/>
          <w:highlight w:val="none"/>
        </w:rPr>
      </w:pPr>
      <w:r>
        <w:rPr>
          <w:rFonts w:hint="eastAsia" w:ascii="宋体" w:hAnsi="宋体" w:cs="宋体"/>
          <w:spacing w:val="8"/>
          <w:sz w:val="24"/>
          <w:highlight w:val="none"/>
        </w:rPr>
        <w:t>考虑对其中重要场所区域设置摄像监视点。拟在现场根据运行管理需要建设17套摄像头。其中8套室外全天侯彩色高速低照度变焦球机，7套室内固定彩色摄像机，2套室内网络高速球机。</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05" w:name="_Toc186600954"/>
      <w:bookmarkStart w:id="106" w:name="_Toc298167803"/>
      <w:r>
        <w:rPr>
          <w:rFonts w:hint="eastAsia" w:cs="宋体"/>
          <w:sz w:val="24"/>
          <w:szCs w:val="24"/>
          <w:highlight w:val="none"/>
        </w:rPr>
        <w:t>1.1.3数据传输</w:t>
      </w:r>
      <w:bookmarkEnd w:id="105"/>
      <w:r>
        <w:rPr>
          <w:rFonts w:hint="eastAsia" w:cs="宋体"/>
          <w:sz w:val="24"/>
          <w:szCs w:val="24"/>
          <w:highlight w:val="none"/>
        </w:rPr>
        <w:t>设备</w:t>
      </w:r>
      <w:bookmarkEnd w:id="106"/>
    </w:p>
    <w:p>
      <w:pPr>
        <w:spacing w:line="360" w:lineRule="auto"/>
        <w:ind w:firstLine="512" w:firstLineChars="200"/>
        <w:rPr>
          <w:rFonts w:ascii="宋体" w:hAnsi="宋体" w:cs="宋体"/>
          <w:spacing w:val="8"/>
          <w:sz w:val="24"/>
          <w:highlight w:val="none"/>
        </w:rPr>
      </w:pPr>
      <w:r>
        <w:rPr>
          <w:rFonts w:hint="eastAsia" w:ascii="宋体" w:hAnsi="宋体" w:cs="宋体"/>
          <w:spacing w:val="8"/>
          <w:sz w:val="24"/>
          <w:highlight w:val="none"/>
        </w:rPr>
        <w:t>采用数字视频传输方式，各视频图像信号经现场视频编码器进行压缩和数字化后接入厂区光纤以太网，根据厂区布局，拟在厂区设置数字视频服务器2台，摄像头采集的视频信号就近接入数字视频服务器， 经视频服务器进行压缩和数字化后经光纤以太网送至终端设备。</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07" w:name="_Toc298167804"/>
      <w:r>
        <w:rPr>
          <w:rFonts w:hint="eastAsia" w:cs="宋体"/>
          <w:sz w:val="24"/>
          <w:szCs w:val="24"/>
          <w:highlight w:val="none"/>
        </w:rPr>
        <w:t>1.1.4终端设备</w:t>
      </w:r>
      <w:bookmarkEnd w:id="107"/>
    </w:p>
    <w:p>
      <w:pPr>
        <w:ind w:firstLine="512" w:firstLineChars="200"/>
        <w:rPr>
          <w:rFonts w:ascii="宋体" w:hAnsi="宋体" w:cs="宋体"/>
          <w:sz w:val="24"/>
          <w:highlight w:val="none"/>
        </w:rPr>
      </w:pPr>
      <w:r>
        <w:rPr>
          <w:rFonts w:hint="eastAsia" w:ascii="宋体" w:hAnsi="宋体" w:cs="宋体"/>
          <w:spacing w:val="8"/>
          <w:sz w:val="24"/>
          <w:highlight w:val="none"/>
        </w:rPr>
        <w:t>在中央控制室设置一台视频管理服务器。视频管理服务器上安装一套网络视频监控系统，操作人员通过视频管理服务器实现对前端设备进行监视、切换、录像储存和对摄像头的遥控。</w:t>
      </w:r>
    </w:p>
    <w:p>
      <w:pPr>
        <w:pStyle w:val="8"/>
        <w:numPr>
          <w:ilvl w:val="0"/>
          <w:numId w:val="0"/>
        </w:numPr>
        <w:tabs>
          <w:tab w:val="center" w:pos="-882"/>
        </w:tabs>
        <w:adjustRightInd w:val="0"/>
        <w:snapToGrid w:val="0"/>
        <w:spacing w:before="60" w:after="60"/>
        <w:ind w:left="868"/>
        <w:textAlignment w:val="baseline"/>
        <w:rPr>
          <w:rFonts w:cs="宋体"/>
          <w:color w:val="FF0000"/>
          <w:sz w:val="24"/>
          <w:szCs w:val="24"/>
          <w:highlight w:val="none"/>
        </w:rPr>
      </w:pPr>
      <w:r>
        <w:rPr>
          <w:rFonts w:hint="eastAsia" w:cs="宋体"/>
          <w:sz w:val="24"/>
          <w:szCs w:val="24"/>
          <w:highlight w:val="none"/>
        </w:rPr>
        <w:t>1.1.5监控设备参数要求</w:t>
      </w:r>
    </w:p>
    <w:tbl>
      <w:tblPr>
        <w:tblStyle w:val="33"/>
        <w:tblW w:w="9545" w:type="dxa"/>
        <w:tblInd w:w="0" w:type="dxa"/>
        <w:tblLayout w:type="autofit"/>
        <w:tblCellMar>
          <w:top w:w="0" w:type="dxa"/>
          <w:left w:w="0" w:type="dxa"/>
          <w:bottom w:w="0" w:type="dxa"/>
          <w:right w:w="0" w:type="dxa"/>
        </w:tblCellMar>
      </w:tblPr>
      <w:tblGrid>
        <w:gridCol w:w="502"/>
        <w:gridCol w:w="855"/>
        <w:gridCol w:w="5215"/>
        <w:gridCol w:w="2973"/>
      </w:tblGrid>
      <w:tr>
        <w:tblPrEx>
          <w:tblCellMar>
            <w:top w:w="0" w:type="dxa"/>
            <w:left w:w="0" w:type="dxa"/>
            <w:bottom w:w="0" w:type="dxa"/>
            <w:right w:w="0" w:type="dxa"/>
          </w:tblCellMar>
        </w:tblPrEx>
        <w:trPr>
          <w:trHeight w:val="658" w:hRule="atLeast"/>
        </w:trPr>
        <w:tc>
          <w:tcPr>
            <w:tcW w:w="502" w:type="dxa"/>
            <w:tcBorders>
              <w:top w:val="single" w:color="000000" w:sz="4" w:space="0"/>
              <w:left w:val="single" w:color="000000" w:sz="4" w:space="0"/>
              <w:bottom w:val="nil"/>
              <w:right w:val="single" w:color="000000" w:sz="4" w:space="0"/>
            </w:tcBorders>
            <w:shd w:val="clear" w:color="auto" w:fill="C00000"/>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序号</w:t>
            </w:r>
          </w:p>
        </w:tc>
        <w:tc>
          <w:tcPr>
            <w:tcW w:w="855" w:type="dxa"/>
            <w:tcBorders>
              <w:top w:val="single" w:color="000000" w:sz="4" w:space="0"/>
              <w:left w:val="single" w:color="000000" w:sz="4" w:space="0"/>
              <w:bottom w:val="nil"/>
              <w:right w:val="single" w:color="000000" w:sz="4" w:space="0"/>
            </w:tcBorders>
            <w:shd w:val="clear" w:color="auto" w:fill="C00000"/>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商品名称</w:t>
            </w:r>
          </w:p>
        </w:tc>
        <w:tc>
          <w:tcPr>
            <w:tcW w:w="5215" w:type="dxa"/>
            <w:tcBorders>
              <w:top w:val="single" w:color="000000" w:sz="4" w:space="0"/>
              <w:left w:val="single" w:color="000000" w:sz="4" w:space="0"/>
              <w:bottom w:val="nil"/>
              <w:right w:val="single" w:color="000000" w:sz="4" w:space="0"/>
            </w:tcBorders>
            <w:shd w:val="clear" w:color="auto" w:fill="C00000"/>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技术规格</w:t>
            </w:r>
          </w:p>
        </w:tc>
        <w:tc>
          <w:tcPr>
            <w:tcW w:w="2973" w:type="dxa"/>
            <w:tcBorders>
              <w:top w:val="single" w:color="000000" w:sz="4" w:space="0"/>
              <w:left w:val="single" w:color="000000" w:sz="4" w:space="0"/>
              <w:bottom w:val="nil"/>
              <w:right w:val="single" w:color="000000" w:sz="4" w:space="0"/>
            </w:tcBorders>
            <w:shd w:val="clear" w:color="auto" w:fill="C00000"/>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12668"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智能球型摄像机</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支持两种智能资源切换：人脸抓拍、smart事件</w:t>
            </w:r>
            <w:r>
              <w:rPr>
                <w:rFonts w:hint="eastAsia" w:ascii="宋体" w:hAnsi="宋体" w:cs="宋体"/>
                <w:sz w:val="18"/>
                <w:szCs w:val="18"/>
                <w:highlight w:val="none"/>
              </w:rPr>
              <w:br w:type="textWrapping"/>
            </w:r>
            <w:r>
              <w:rPr>
                <w:rFonts w:hint="eastAsia" w:ascii="宋体" w:hAnsi="宋体" w:cs="宋体"/>
                <w:sz w:val="18"/>
                <w:szCs w:val="18"/>
                <w:highlight w:val="none"/>
              </w:rPr>
              <w:t>支持人脸抓拍：支持对运动人脸进行检测、抓拍、评分、筛选，输出最优的人脸抓图，最多同时检测5张人脸。</w:t>
            </w:r>
            <w:r>
              <w:rPr>
                <w:rFonts w:hint="eastAsia" w:ascii="宋体" w:hAnsi="宋体" w:cs="宋体"/>
                <w:sz w:val="18"/>
                <w:szCs w:val="18"/>
                <w:highlight w:val="none"/>
              </w:rPr>
              <w:br w:type="textWrapping"/>
            </w:r>
            <w:r>
              <w:rPr>
                <w:rFonts w:hint="eastAsia" w:ascii="宋体" w:hAnsi="宋体" w:cs="宋体"/>
                <w:sz w:val="18"/>
                <w:szCs w:val="18"/>
                <w:highlight w:val="none"/>
              </w:rPr>
              <w:t>支持人脸抓拍场景手动选择，大场景监控和抓拍人脸灵活切换</w:t>
            </w:r>
            <w:r>
              <w:rPr>
                <w:rFonts w:hint="eastAsia" w:ascii="宋体" w:hAnsi="宋体" w:cs="宋体"/>
                <w:sz w:val="18"/>
                <w:szCs w:val="18"/>
                <w:highlight w:val="none"/>
              </w:rPr>
              <w:br w:type="textWrapping"/>
            </w:r>
            <w:r>
              <w:rPr>
                <w:rFonts w:hint="eastAsia" w:ascii="宋体" w:hAnsi="宋体" w:cs="宋体"/>
                <w:sz w:val="18"/>
                <w:szCs w:val="18"/>
                <w:highlight w:val="none"/>
              </w:rPr>
              <w:t>支持8个场景下的轮巡人脸抓拍，每个场景的时间可设</w:t>
            </w:r>
            <w:r>
              <w:rPr>
                <w:rFonts w:hint="eastAsia" w:ascii="宋体" w:hAnsi="宋体" w:cs="宋体"/>
                <w:sz w:val="18"/>
                <w:szCs w:val="18"/>
                <w:highlight w:val="none"/>
              </w:rPr>
              <w:br w:type="textWrapping"/>
            </w:r>
            <w:r>
              <w:rPr>
                <w:rFonts w:hint="eastAsia" w:ascii="宋体" w:hAnsi="宋体" w:cs="宋体"/>
                <w:sz w:val="18"/>
                <w:szCs w:val="18"/>
                <w:highlight w:val="none"/>
              </w:rPr>
              <w:t>smart事件：越界侦测,区域入侵侦测,进入/离开区域侦测,徘徊侦测,人员聚集侦测,快速运动侦测,停车侦测,物品遗留/拿取侦测</w:t>
            </w:r>
            <w:r>
              <w:rPr>
                <w:rFonts w:hint="eastAsia" w:ascii="宋体" w:hAnsi="宋体" w:cs="宋体"/>
                <w:sz w:val="18"/>
                <w:szCs w:val="18"/>
                <w:highlight w:val="none"/>
              </w:rPr>
              <w:br w:type="textWrapping"/>
            </w:r>
            <w:r>
              <w:rPr>
                <w:rFonts w:hint="eastAsia" w:ascii="宋体" w:hAnsi="宋体" w:cs="宋体"/>
                <w:sz w:val="18"/>
                <w:szCs w:val="18"/>
                <w:highlight w:val="none"/>
              </w:rPr>
              <w:t>图像传感器:1/2.8＂ progressive scan CMOS</w:t>
            </w:r>
            <w:r>
              <w:rPr>
                <w:rFonts w:hint="eastAsia" w:ascii="宋体" w:hAnsi="宋体" w:cs="宋体"/>
                <w:sz w:val="18"/>
                <w:szCs w:val="18"/>
                <w:highlight w:val="none"/>
              </w:rPr>
              <w:br w:type="textWrapping"/>
            </w:r>
            <w:r>
              <w:rPr>
                <w:rFonts w:hint="eastAsia" w:ascii="宋体" w:hAnsi="宋体" w:cs="宋体"/>
                <w:sz w:val="18"/>
                <w:szCs w:val="18"/>
                <w:highlight w:val="none"/>
              </w:rPr>
              <w:t>最低照度:彩色：0.002Lux @ (F1.2，AGC ON)；黑白：0.0001Lux @(F1.2，AGC ON) ；0 Lux with IR</w:t>
            </w:r>
            <w:r>
              <w:rPr>
                <w:rFonts w:hint="eastAsia" w:ascii="宋体" w:hAnsi="宋体" w:cs="宋体"/>
                <w:sz w:val="18"/>
                <w:szCs w:val="18"/>
                <w:highlight w:val="none"/>
              </w:rPr>
              <w:br w:type="textWrapping"/>
            </w:r>
            <w:r>
              <w:rPr>
                <w:rFonts w:hint="eastAsia" w:ascii="宋体" w:hAnsi="宋体" w:cs="宋体"/>
                <w:sz w:val="18"/>
                <w:szCs w:val="18"/>
                <w:highlight w:val="none"/>
              </w:rPr>
              <w:t>分辨率及帧率:主码流 50Hz:25fps (1920×1080); 60Hz: 30fps(1920×1080)</w:t>
            </w:r>
            <w:r>
              <w:rPr>
                <w:rFonts w:hint="eastAsia" w:ascii="宋体" w:hAnsi="宋体" w:cs="宋体"/>
                <w:sz w:val="18"/>
                <w:szCs w:val="18"/>
                <w:highlight w:val="none"/>
              </w:rPr>
              <w:br w:type="textWrapping"/>
            </w:r>
            <w:r>
              <w:rPr>
                <w:rFonts w:hint="eastAsia" w:ascii="宋体" w:hAnsi="宋体" w:cs="宋体"/>
                <w:sz w:val="18"/>
                <w:szCs w:val="18"/>
                <w:highlight w:val="none"/>
              </w:rPr>
              <w:t>视频压缩:H.265/H.264/MJPEG，H.264支持Baseline Profile/Main Profile/High Profile</w:t>
            </w:r>
            <w:r>
              <w:rPr>
                <w:rFonts w:hint="eastAsia" w:ascii="宋体" w:hAnsi="宋体" w:cs="宋体"/>
                <w:sz w:val="18"/>
                <w:szCs w:val="18"/>
                <w:highlight w:val="none"/>
              </w:rPr>
              <w:br w:type="textWrapping"/>
            </w:r>
            <w:r>
              <w:rPr>
                <w:rFonts w:hint="eastAsia" w:ascii="宋体" w:hAnsi="宋体" w:cs="宋体"/>
                <w:sz w:val="18"/>
                <w:szCs w:val="18"/>
                <w:highlight w:val="none"/>
              </w:rPr>
              <w:t>可见光照射距离:30米</w:t>
            </w:r>
            <w:r>
              <w:rPr>
                <w:rFonts w:hint="eastAsia" w:ascii="宋体" w:hAnsi="宋体" w:cs="宋体"/>
                <w:sz w:val="18"/>
                <w:szCs w:val="18"/>
                <w:highlight w:val="none"/>
              </w:rPr>
              <w:br w:type="textWrapping"/>
            </w:r>
            <w:r>
              <w:rPr>
                <w:rFonts w:hint="eastAsia" w:ascii="宋体" w:hAnsi="宋体" w:cs="宋体"/>
                <w:sz w:val="18"/>
                <w:szCs w:val="18"/>
                <w:highlight w:val="none"/>
              </w:rPr>
              <w:t>红外照射距离:150米</w:t>
            </w:r>
            <w:r>
              <w:rPr>
                <w:rFonts w:hint="eastAsia" w:ascii="宋体" w:hAnsi="宋体" w:cs="宋体"/>
                <w:sz w:val="18"/>
                <w:szCs w:val="18"/>
                <w:highlight w:val="none"/>
              </w:rPr>
              <w:br w:type="textWrapping"/>
            </w:r>
            <w:r>
              <w:rPr>
                <w:rFonts w:hint="eastAsia" w:ascii="宋体" w:hAnsi="宋体" w:cs="宋体"/>
                <w:sz w:val="18"/>
                <w:szCs w:val="18"/>
                <w:highlight w:val="none"/>
              </w:rPr>
              <w:t>焦距:4.8 - 110 mm, 23倍光学</w:t>
            </w:r>
            <w:r>
              <w:rPr>
                <w:rFonts w:hint="eastAsia" w:ascii="宋体" w:hAnsi="宋体" w:cs="宋体"/>
                <w:sz w:val="18"/>
                <w:szCs w:val="18"/>
                <w:highlight w:val="none"/>
              </w:rPr>
              <w:br w:type="textWrapping"/>
            </w:r>
            <w:r>
              <w:rPr>
                <w:rFonts w:hint="eastAsia" w:ascii="宋体" w:hAnsi="宋体" w:cs="宋体"/>
                <w:sz w:val="18"/>
                <w:szCs w:val="18"/>
                <w:highlight w:val="none"/>
              </w:rPr>
              <w:t>水平视角:58.4-2.8度(广角-望远)</w:t>
            </w:r>
            <w:r>
              <w:rPr>
                <w:rFonts w:hint="eastAsia" w:ascii="宋体" w:hAnsi="宋体" w:cs="宋体"/>
                <w:sz w:val="18"/>
                <w:szCs w:val="18"/>
                <w:highlight w:val="none"/>
              </w:rPr>
              <w:br w:type="textWrapping"/>
            </w:r>
            <w:r>
              <w:rPr>
                <w:rFonts w:hint="eastAsia" w:ascii="宋体" w:hAnsi="宋体" w:cs="宋体"/>
                <w:sz w:val="18"/>
                <w:szCs w:val="18"/>
                <w:highlight w:val="none"/>
              </w:rPr>
              <w:t>Smart图像增强:120dB超宽动态、透雾、强光抑制、电子防抖、Smart IR</w:t>
            </w:r>
            <w:r>
              <w:rPr>
                <w:rFonts w:hint="eastAsia" w:ascii="宋体" w:hAnsi="宋体" w:cs="宋体"/>
                <w:sz w:val="18"/>
                <w:szCs w:val="18"/>
                <w:highlight w:val="none"/>
              </w:rPr>
              <w:br w:type="textWrapping"/>
            </w:r>
            <w:r>
              <w:rPr>
                <w:rFonts w:hint="eastAsia" w:ascii="宋体" w:hAnsi="宋体" w:cs="宋体"/>
                <w:sz w:val="18"/>
                <w:szCs w:val="18"/>
                <w:highlight w:val="none"/>
              </w:rPr>
              <w:t>水平及垂直范围:水平360°；垂直-15°-90°（自动翻转）</w:t>
            </w:r>
            <w:r>
              <w:rPr>
                <w:rFonts w:hint="eastAsia" w:ascii="宋体" w:hAnsi="宋体" w:cs="宋体"/>
                <w:sz w:val="18"/>
                <w:szCs w:val="18"/>
                <w:highlight w:val="none"/>
              </w:rPr>
              <w:br w:type="textWrapping"/>
            </w:r>
            <w:r>
              <w:rPr>
                <w:rFonts w:hint="eastAsia" w:ascii="宋体" w:hAnsi="宋体" w:cs="宋体"/>
                <w:sz w:val="18"/>
                <w:szCs w:val="18"/>
                <w:highlight w:val="none"/>
              </w:rPr>
              <w:t>水平速度:水平键控速度：0.1°-160°/s,速度可设;水平预置点速度：240°/s</w:t>
            </w:r>
            <w:r>
              <w:rPr>
                <w:rFonts w:hint="eastAsia" w:ascii="宋体" w:hAnsi="宋体" w:cs="宋体"/>
                <w:sz w:val="18"/>
                <w:szCs w:val="18"/>
                <w:highlight w:val="none"/>
              </w:rPr>
              <w:br w:type="textWrapping"/>
            </w:r>
            <w:r>
              <w:rPr>
                <w:rFonts w:hint="eastAsia" w:ascii="宋体" w:hAnsi="宋体" w:cs="宋体"/>
                <w:sz w:val="18"/>
                <w:szCs w:val="18"/>
                <w:highlight w:val="none"/>
              </w:rPr>
              <w:t>垂直速度:垂直键控速度：0.1°-120°/s,速度可设;垂直预置点速度：200°/s</w:t>
            </w:r>
            <w:r>
              <w:rPr>
                <w:rFonts w:hint="eastAsia" w:ascii="宋体" w:hAnsi="宋体" w:cs="宋体"/>
                <w:sz w:val="18"/>
                <w:szCs w:val="18"/>
                <w:highlight w:val="none"/>
              </w:rPr>
              <w:br w:type="textWrapping"/>
            </w:r>
            <w:r>
              <w:rPr>
                <w:rFonts w:hint="eastAsia" w:ascii="宋体" w:hAnsi="宋体" w:cs="宋体"/>
                <w:sz w:val="18"/>
                <w:szCs w:val="18"/>
                <w:highlight w:val="none"/>
              </w:rPr>
              <w:t>支持萤石协议接入</w:t>
            </w:r>
            <w:r>
              <w:rPr>
                <w:rFonts w:hint="eastAsia" w:ascii="宋体" w:hAnsi="宋体" w:cs="宋体"/>
                <w:sz w:val="18"/>
                <w:szCs w:val="18"/>
                <w:highlight w:val="none"/>
              </w:rPr>
              <w:br w:type="textWrapping"/>
            </w:r>
            <w:r>
              <w:rPr>
                <w:rFonts w:hint="eastAsia" w:ascii="宋体" w:hAnsi="宋体" w:cs="宋体"/>
                <w:sz w:val="18"/>
                <w:szCs w:val="18"/>
                <w:highlight w:val="none"/>
              </w:rPr>
              <w:t>电源接口:AC24V</w:t>
            </w:r>
            <w:r>
              <w:rPr>
                <w:rFonts w:hint="eastAsia" w:ascii="宋体" w:hAnsi="宋体" w:cs="宋体"/>
                <w:sz w:val="18"/>
                <w:szCs w:val="18"/>
                <w:highlight w:val="none"/>
              </w:rPr>
              <w:br w:type="textWrapping"/>
            </w:r>
            <w:r>
              <w:rPr>
                <w:rFonts w:hint="eastAsia" w:ascii="宋体" w:hAnsi="宋体" w:cs="宋体"/>
                <w:sz w:val="18"/>
                <w:szCs w:val="18"/>
                <w:highlight w:val="none"/>
              </w:rPr>
              <w:t>网络接口:RJ45网口，自适应10M/100M网络数据</w:t>
            </w:r>
            <w:r>
              <w:rPr>
                <w:rFonts w:hint="eastAsia" w:ascii="宋体" w:hAnsi="宋体" w:cs="宋体"/>
                <w:sz w:val="18"/>
                <w:szCs w:val="18"/>
                <w:highlight w:val="none"/>
              </w:rPr>
              <w:br w:type="textWrapping"/>
            </w:r>
            <w:r>
              <w:rPr>
                <w:rFonts w:hint="eastAsia" w:ascii="宋体" w:hAnsi="宋体" w:cs="宋体"/>
                <w:sz w:val="18"/>
                <w:szCs w:val="18"/>
                <w:highlight w:val="none"/>
              </w:rPr>
              <w:t>音频输入/输出:1路音频输入；1路音频输出</w:t>
            </w:r>
            <w:r>
              <w:rPr>
                <w:rFonts w:hint="eastAsia" w:ascii="宋体" w:hAnsi="宋体" w:cs="宋体"/>
                <w:sz w:val="18"/>
                <w:szCs w:val="18"/>
                <w:highlight w:val="none"/>
              </w:rPr>
              <w:br w:type="textWrapping"/>
            </w:r>
            <w:r>
              <w:rPr>
                <w:rFonts w:hint="eastAsia" w:ascii="宋体" w:hAnsi="宋体" w:cs="宋体"/>
                <w:sz w:val="18"/>
                <w:szCs w:val="18"/>
                <w:highlight w:val="none"/>
              </w:rPr>
              <w:t>报警输入/输出:2路报警输入；1路报警输出</w:t>
            </w:r>
            <w:r>
              <w:rPr>
                <w:rFonts w:hint="eastAsia" w:ascii="宋体" w:hAnsi="宋体" w:cs="宋体"/>
                <w:sz w:val="18"/>
                <w:szCs w:val="18"/>
                <w:highlight w:val="none"/>
              </w:rPr>
              <w:br w:type="textWrapping"/>
            </w:r>
            <w:r>
              <w:rPr>
                <w:rFonts w:hint="eastAsia" w:ascii="宋体" w:hAnsi="宋体" w:cs="宋体"/>
                <w:sz w:val="18"/>
                <w:szCs w:val="18"/>
                <w:highlight w:val="none"/>
              </w:rPr>
              <w:t>SD卡接口:内置Micro SD卡插槽，支持Micro SD(即TF卡)/Micro SDHC/Micro SDXC卡（最大支持256G）</w:t>
            </w:r>
            <w:r>
              <w:rPr>
                <w:rFonts w:hint="eastAsia" w:ascii="宋体" w:hAnsi="宋体" w:cs="宋体"/>
                <w:sz w:val="18"/>
                <w:szCs w:val="18"/>
                <w:highlight w:val="none"/>
              </w:rPr>
              <w:br w:type="textWrapping"/>
            </w:r>
            <w:r>
              <w:rPr>
                <w:rFonts w:hint="eastAsia" w:ascii="宋体" w:hAnsi="宋体" w:cs="宋体"/>
                <w:sz w:val="18"/>
                <w:szCs w:val="18"/>
                <w:highlight w:val="none"/>
              </w:rPr>
              <w:t>功耗:40W max（其中红外灯15W max）</w:t>
            </w:r>
            <w:r>
              <w:rPr>
                <w:rFonts w:hint="eastAsia" w:ascii="宋体" w:hAnsi="宋体" w:cs="宋体"/>
                <w:sz w:val="18"/>
                <w:szCs w:val="18"/>
                <w:highlight w:val="none"/>
              </w:rPr>
              <w:br w:type="textWrapping"/>
            </w:r>
            <w:r>
              <w:rPr>
                <w:rFonts w:hint="eastAsia" w:ascii="宋体" w:hAnsi="宋体" w:cs="宋体"/>
                <w:sz w:val="18"/>
                <w:szCs w:val="18"/>
                <w:highlight w:val="none"/>
              </w:rPr>
              <w:t>工作温度和湿度:-30℃-65℃；湿度小于90%</w:t>
            </w:r>
            <w:r>
              <w:rPr>
                <w:rFonts w:hint="eastAsia" w:ascii="宋体" w:hAnsi="宋体" w:cs="宋体"/>
                <w:sz w:val="18"/>
                <w:szCs w:val="18"/>
                <w:highlight w:val="none"/>
              </w:rPr>
              <w:br w:type="textWrapping"/>
            </w:r>
            <w:r>
              <w:rPr>
                <w:rFonts w:hint="eastAsia" w:ascii="宋体" w:hAnsi="宋体" w:cs="宋体"/>
                <w:sz w:val="18"/>
                <w:szCs w:val="18"/>
                <w:highlight w:val="none"/>
              </w:rPr>
              <w:t>防护等级:IP66</w:t>
            </w:r>
            <w:r>
              <w:rPr>
                <w:rFonts w:hint="eastAsia" w:ascii="宋体" w:hAnsi="宋体" w:cs="宋体"/>
                <w:sz w:val="18"/>
                <w:szCs w:val="18"/>
                <w:highlight w:val="none"/>
              </w:rPr>
              <w:br w:type="textWrapping"/>
            </w:r>
            <w:r>
              <w:rPr>
                <w:rFonts w:hint="eastAsia" w:ascii="宋体" w:hAnsi="宋体" w:cs="宋体"/>
                <w:sz w:val="18"/>
                <w:szCs w:val="18"/>
                <w:highlight w:val="none"/>
              </w:rPr>
              <w:t xml:space="preserve">尺寸:Φ220×353.4mm </w:t>
            </w:r>
            <w:r>
              <w:rPr>
                <w:rFonts w:hint="eastAsia" w:ascii="宋体" w:hAnsi="宋体" w:cs="宋体"/>
                <w:sz w:val="18"/>
                <w:szCs w:val="18"/>
                <w:highlight w:val="none"/>
              </w:rPr>
              <w:br w:type="textWrapping"/>
            </w:r>
            <w:r>
              <w:rPr>
                <w:rFonts w:hint="eastAsia" w:ascii="宋体" w:hAnsi="宋体" w:cs="宋体"/>
                <w:sz w:val="18"/>
                <w:szCs w:val="18"/>
                <w:highlight w:val="none"/>
              </w:rPr>
              <w:t>重量:4.5Kg</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 视频输出支持1920×1080@25fps，分辨力不小于1100TVL，红外距离可达300米</w:t>
            </w:r>
            <w:r>
              <w:rPr>
                <w:rFonts w:hint="eastAsia" w:ascii="宋体" w:hAnsi="宋体" w:cs="宋体"/>
                <w:sz w:val="18"/>
                <w:szCs w:val="18"/>
                <w:highlight w:val="none"/>
              </w:rPr>
              <w:br w:type="textWrapping"/>
            </w:r>
            <w:r>
              <w:rPr>
                <w:rFonts w:hint="eastAsia" w:ascii="宋体" w:hAnsi="宋体" w:cs="宋体"/>
                <w:sz w:val="18"/>
                <w:szCs w:val="18"/>
                <w:highlight w:val="none"/>
              </w:rPr>
              <w:t>2、 支持最低照度可达彩色0.0005Lux，黑白0.0001Lux</w:t>
            </w:r>
            <w:r>
              <w:rPr>
                <w:rFonts w:hint="eastAsia" w:ascii="宋体" w:hAnsi="宋体" w:cs="宋体"/>
                <w:sz w:val="18"/>
                <w:szCs w:val="18"/>
                <w:highlight w:val="none"/>
              </w:rPr>
              <w:br w:type="textWrapping"/>
            </w:r>
            <w:r>
              <w:rPr>
                <w:rFonts w:hint="eastAsia" w:ascii="宋体" w:hAnsi="宋体" w:cs="宋体"/>
                <w:sz w:val="18"/>
                <w:szCs w:val="18"/>
                <w:highlight w:val="none"/>
              </w:rPr>
              <w:t>3、 设备支持可见光及红外光补光，开启可见光补光，可识别距设备50m处的人体轮廓</w:t>
            </w:r>
            <w:r>
              <w:rPr>
                <w:rFonts w:hint="eastAsia" w:ascii="宋体" w:hAnsi="宋体" w:cs="宋体"/>
                <w:sz w:val="18"/>
                <w:szCs w:val="18"/>
                <w:highlight w:val="none"/>
              </w:rPr>
              <w:br w:type="textWrapping"/>
            </w:r>
            <w:r>
              <w:rPr>
                <w:rFonts w:hint="eastAsia" w:ascii="宋体" w:hAnsi="宋体" w:cs="宋体"/>
                <w:sz w:val="18"/>
                <w:szCs w:val="18"/>
                <w:highlight w:val="none"/>
              </w:rPr>
              <w:t>4、 镜头采用F1.2大光圈; 支持水平手控速度不小于550°/S，垂直速度不小于120°/S，云台定位精度为±0.1°</w:t>
            </w:r>
            <w:r>
              <w:rPr>
                <w:rFonts w:hint="eastAsia" w:ascii="宋体" w:hAnsi="宋体" w:cs="宋体"/>
                <w:sz w:val="18"/>
                <w:szCs w:val="18"/>
                <w:highlight w:val="none"/>
              </w:rPr>
              <w:br w:type="textWrapping"/>
            </w:r>
            <w:r>
              <w:rPr>
                <w:rFonts w:hint="eastAsia" w:ascii="宋体" w:hAnsi="宋体" w:cs="宋体"/>
                <w:sz w:val="18"/>
                <w:szCs w:val="18"/>
                <w:highlight w:val="none"/>
              </w:rPr>
              <w:t>5、 可通过IE浏览器设置8个场景进行人脸抓拍，可设置每个场景的布防时间。</w:t>
            </w:r>
            <w:r>
              <w:rPr>
                <w:rFonts w:hint="eastAsia" w:ascii="宋体" w:hAnsi="宋体" w:cs="宋体"/>
                <w:sz w:val="18"/>
                <w:szCs w:val="18"/>
                <w:highlight w:val="none"/>
              </w:rPr>
              <w:br w:type="textWrapping"/>
            </w:r>
            <w:r>
              <w:rPr>
                <w:rFonts w:hint="eastAsia" w:ascii="宋体" w:hAnsi="宋体" w:cs="宋体"/>
                <w:sz w:val="18"/>
                <w:szCs w:val="18"/>
                <w:highlight w:val="none"/>
              </w:rPr>
              <w:t>6、 当通过IE浏览器手动点击或框选预览画面中的人脸时，设备能通过PTZ转动将人脸置于画面中心，并对人脸进行抓拍。</w:t>
            </w:r>
            <w:r>
              <w:rPr>
                <w:rFonts w:hint="eastAsia" w:ascii="宋体" w:hAnsi="宋体" w:cs="宋体"/>
                <w:sz w:val="18"/>
                <w:szCs w:val="18"/>
                <w:highlight w:val="none"/>
              </w:rPr>
              <w:br w:type="textWrapping"/>
            </w:r>
            <w:r>
              <w:rPr>
                <w:rFonts w:hint="eastAsia" w:ascii="宋体" w:hAnsi="宋体" w:cs="宋体"/>
                <w:sz w:val="18"/>
                <w:szCs w:val="18"/>
                <w:highlight w:val="none"/>
              </w:rPr>
              <w:t>7、 可通过IE浏览器实时预览设备抓拍的人脸图片，并可在历史记录中存储不小于100张人脸抓拍图片。8、 设备可对监视画面中不小于30张人脸进行检测、跟踪和抓拍。</w:t>
            </w:r>
          </w:p>
        </w:tc>
      </w:tr>
      <w:tr>
        <w:tblPrEx>
          <w:tblCellMar>
            <w:top w:w="0" w:type="dxa"/>
            <w:left w:w="0" w:type="dxa"/>
            <w:bottom w:w="0" w:type="dxa"/>
            <w:right w:w="0" w:type="dxa"/>
          </w:tblCellMar>
        </w:tblPrEx>
        <w:trPr>
          <w:trHeight w:val="9507"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网络摄像机</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200万1/2.7”CMOS 全彩筒型网络摄像机</w:t>
            </w:r>
            <w:r>
              <w:rPr>
                <w:rFonts w:hint="eastAsia" w:ascii="宋体" w:hAnsi="宋体" w:cs="宋体"/>
                <w:sz w:val="18"/>
                <w:szCs w:val="18"/>
                <w:highlight w:val="none"/>
              </w:rPr>
              <w:br w:type="textWrapping"/>
            </w:r>
            <w:r>
              <w:rPr>
                <w:rFonts w:hint="eastAsia" w:ascii="宋体" w:hAnsi="宋体" w:cs="宋体"/>
                <w:sz w:val="18"/>
                <w:szCs w:val="18"/>
                <w:highlight w:val="none"/>
              </w:rPr>
              <w:t>最小照度: 彩色:0.0005Lux@F1.0,AGC ON;0Lux with Light</w:t>
            </w:r>
            <w:r>
              <w:rPr>
                <w:rFonts w:hint="eastAsia" w:ascii="宋体" w:hAnsi="宋体" w:cs="宋体"/>
                <w:sz w:val="18"/>
                <w:szCs w:val="18"/>
                <w:highlight w:val="none"/>
              </w:rPr>
              <w:br w:type="textWrapping"/>
            </w:r>
            <w:r>
              <w:rPr>
                <w:rFonts w:hint="eastAsia" w:ascii="宋体" w:hAnsi="宋体" w:cs="宋体"/>
                <w:sz w:val="18"/>
                <w:szCs w:val="18"/>
                <w:highlight w:val="none"/>
              </w:rPr>
              <w:t>镜头:</w:t>
            </w:r>
            <w:r>
              <w:rPr>
                <w:rFonts w:hint="eastAsia" w:ascii="宋体" w:hAnsi="宋体" w:cs="宋体"/>
                <w:sz w:val="18"/>
                <w:szCs w:val="18"/>
                <w:highlight w:val="none"/>
              </w:rPr>
              <w:br w:type="textWrapping"/>
            </w:r>
            <w:r>
              <w:rPr>
                <w:rFonts w:hint="eastAsia" w:ascii="宋体" w:hAnsi="宋体" w:cs="宋体"/>
                <w:sz w:val="18"/>
                <w:szCs w:val="18"/>
                <w:highlight w:val="none"/>
              </w:rPr>
              <w:t>2.8 mm@ F1.0, 水平视场角：111.7°，垂直视场角：56.8°，对角线视场角：137.8°</w:t>
            </w:r>
            <w:r>
              <w:rPr>
                <w:rFonts w:hint="eastAsia" w:ascii="宋体" w:hAnsi="宋体" w:cs="宋体"/>
                <w:sz w:val="18"/>
                <w:szCs w:val="18"/>
                <w:highlight w:val="none"/>
              </w:rPr>
              <w:br w:type="textWrapping"/>
            </w:r>
            <w:r>
              <w:rPr>
                <w:rFonts w:hint="eastAsia" w:ascii="宋体" w:hAnsi="宋体" w:cs="宋体"/>
                <w:sz w:val="18"/>
                <w:szCs w:val="18"/>
                <w:highlight w:val="none"/>
              </w:rPr>
              <w:t>4 mm@ F1.0, 水平视场角：89°，垂直视场角：46.6°，对角线视场角：105.4°</w:t>
            </w:r>
            <w:r>
              <w:rPr>
                <w:rFonts w:hint="eastAsia" w:ascii="宋体" w:hAnsi="宋体" w:cs="宋体"/>
                <w:sz w:val="18"/>
                <w:szCs w:val="18"/>
                <w:highlight w:val="none"/>
              </w:rPr>
              <w:br w:type="textWrapping"/>
            </w:r>
            <w:r>
              <w:rPr>
                <w:rFonts w:hint="eastAsia" w:ascii="宋体" w:hAnsi="宋体" w:cs="宋体"/>
                <w:sz w:val="18"/>
                <w:szCs w:val="18"/>
                <w:highlight w:val="none"/>
              </w:rPr>
              <w:t>6 mm@ F1.0, 水平视场角：54°，垂直视场角：29.6°，对角线视场角：62.9°</w:t>
            </w:r>
            <w:r>
              <w:rPr>
                <w:rFonts w:hint="eastAsia" w:ascii="宋体" w:hAnsi="宋体" w:cs="宋体"/>
                <w:sz w:val="18"/>
                <w:szCs w:val="18"/>
                <w:highlight w:val="none"/>
              </w:rPr>
              <w:br w:type="textWrapping"/>
            </w:r>
            <w:r>
              <w:rPr>
                <w:rFonts w:hint="eastAsia" w:ascii="宋体" w:hAnsi="宋体" w:cs="宋体"/>
                <w:sz w:val="18"/>
                <w:szCs w:val="18"/>
                <w:highlight w:val="none"/>
              </w:rPr>
              <w:t>8 mm@ F1.0, 水平视场角：42.2°，垂直视场角：23.1°，对角线视场角：49.2°</w:t>
            </w:r>
            <w:r>
              <w:rPr>
                <w:rFonts w:hint="eastAsia" w:ascii="宋体" w:hAnsi="宋体" w:cs="宋体"/>
                <w:sz w:val="18"/>
                <w:szCs w:val="18"/>
                <w:highlight w:val="none"/>
              </w:rPr>
              <w:br w:type="textWrapping"/>
            </w:r>
            <w:r>
              <w:rPr>
                <w:rFonts w:hint="eastAsia" w:ascii="宋体" w:hAnsi="宋体" w:cs="宋体"/>
                <w:sz w:val="18"/>
                <w:szCs w:val="18"/>
                <w:highlight w:val="none"/>
              </w:rPr>
              <w:t>景深范围:</w:t>
            </w:r>
            <w:r>
              <w:rPr>
                <w:rFonts w:hint="eastAsia" w:ascii="宋体" w:hAnsi="宋体" w:cs="宋体"/>
                <w:sz w:val="18"/>
                <w:szCs w:val="18"/>
                <w:highlight w:val="none"/>
              </w:rPr>
              <w:br w:type="textWrapping"/>
            </w:r>
            <w:r>
              <w:rPr>
                <w:rFonts w:hint="eastAsia" w:ascii="宋体" w:hAnsi="宋体" w:cs="宋体"/>
                <w:sz w:val="18"/>
                <w:szCs w:val="18"/>
                <w:highlight w:val="none"/>
              </w:rPr>
              <w:t>2.8 mm: 1.7 m~∞</w:t>
            </w:r>
            <w:r>
              <w:rPr>
                <w:rFonts w:hint="eastAsia" w:ascii="宋体" w:hAnsi="宋体" w:cs="宋体"/>
                <w:sz w:val="18"/>
                <w:szCs w:val="18"/>
                <w:highlight w:val="none"/>
              </w:rPr>
              <w:br w:type="textWrapping"/>
            </w:r>
            <w:r>
              <w:rPr>
                <w:rFonts w:hint="eastAsia" w:ascii="宋体" w:hAnsi="宋体" w:cs="宋体"/>
                <w:sz w:val="18"/>
                <w:szCs w:val="18"/>
                <w:highlight w:val="none"/>
              </w:rPr>
              <w:t>4 mm: 2.1 m~∞</w:t>
            </w:r>
            <w:r>
              <w:rPr>
                <w:rFonts w:hint="eastAsia" w:ascii="宋体" w:hAnsi="宋体" w:cs="宋体"/>
                <w:sz w:val="18"/>
                <w:szCs w:val="18"/>
                <w:highlight w:val="none"/>
              </w:rPr>
              <w:br w:type="textWrapping"/>
            </w:r>
            <w:r>
              <w:rPr>
                <w:rFonts w:hint="eastAsia" w:ascii="宋体" w:hAnsi="宋体" w:cs="宋体"/>
                <w:sz w:val="18"/>
                <w:szCs w:val="18"/>
                <w:highlight w:val="none"/>
              </w:rPr>
              <w:t>6 mm: 5.4 m~∞</w:t>
            </w:r>
            <w:r>
              <w:rPr>
                <w:rFonts w:hint="eastAsia" w:ascii="宋体" w:hAnsi="宋体" w:cs="宋体"/>
                <w:sz w:val="18"/>
                <w:szCs w:val="18"/>
                <w:highlight w:val="none"/>
              </w:rPr>
              <w:br w:type="textWrapping"/>
            </w:r>
            <w:r>
              <w:rPr>
                <w:rFonts w:hint="eastAsia" w:ascii="宋体" w:hAnsi="宋体" w:cs="宋体"/>
                <w:sz w:val="18"/>
                <w:szCs w:val="18"/>
                <w:highlight w:val="none"/>
              </w:rPr>
              <w:t>8 mm: 8.8 m~∞</w:t>
            </w:r>
            <w:r>
              <w:rPr>
                <w:rFonts w:hint="eastAsia" w:ascii="宋体" w:hAnsi="宋体" w:cs="宋体"/>
                <w:sz w:val="18"/>
                <w:szCs w:val="18"/>
                <w:highlight w:val="none"/>
              </w:rPr>
              <w:br w:type="textWrapping"/>
            </w:r>
            <w:r>
              <w:rPr>
                <w:rFonts w:hint="eastAsia" w:ascii="宋体" w:hAnsi="宋体" w:cs="宋体"/>
                <w:sz w:val="18"/>
                <w:szCs w:val="18"/>
                <w:highlight w:val="none"/>
              </w:rPr>
              <w:t>宽动态范围: 120 dB</w:t>
            </w:r>
            <w:r>
              <w:rPr>
                <w:rFonts w:hint="eastAsia" w:ascii="宋体" w:hAnsi="宋体" w:cs="宋体"/>
                <w:sz w:val="18"/>
                <w:szCs w:val="18"/>
                <w:highlight w:val="none"/>
              </w:rPr>
              <w:br w:type="textWrapping"/>
            </w:r>
            <w:r>
              <w:rPr>
                <w:rFonts w:hint="eastAsia" w:ascii="宋体" w:hAnsi="宋体" w:cs="宋体"/>
                <w:sz w:val="18"/>
                <w:szCs w:val="18"/>
                <w:highlight w:val="none"/>
              </w:rPr>
              <w:t>视频压缩标准: H.265/H.264/MJPEG</w:t>
            </w:r>
            <w:r>
              <w:rPr>
                <w:rFonts w:hint="eastAsia" w:ascii="宋体" w:hAnsi="宋体" w:cs="宋体"/>
                <w:sz w:val="18"/>
                <w:szCs w:val="18"/>
                <w:highlight w:val="none"/>
              </w:rPr>
              <w:br w:type="textWrapping"/>
            </w:r>
            <w:r>
              <w:rPr>
                <w:rFonts w:hint="eastAsia" w:ascii="宋体" w:hAnsi="宋体" w:cs="宋体"/>
                <w:sz w:val="18"/>
                <w:szCs w:val="18"/>
                <w:highlight w:val="none"/>
              </w:rPr>
              <w:t>最大图像尺寸: 1920 × 1080</w:t>
            </w:r>
            <w:r>
              <w:rPr>
                <w:rFonts w:hint="eastAsia" w:ascii="宋体" w:hAnsi="宋体" w:cs="宋体"/>
                <w:sz w:val="18"/>
                <w:szCs w:val="18"/>
                <w:highlight w:val="none"/>
              </w:rPr>
              <w:br w:type="textWrapping"/>
            </w:r>
            <w:r>
              <w:rPr>
                <w:rFonts w:hint="eastAsia" w:ascii="宋体" w:hAnsi="宋体" w:cs="宋体"/>
                <w:sz w:val="18"/>
                <w:szCs w:val="18"/>
                <w:highlight w:val="none"/>
              </w:rPr>
              <w:t>存储功能: 支持NAS(NFS,SMB/CIFS均支持)</w:t>
            </w:r>
            <w:r>
              <w:rPr>
                <w:rFonts w:hint="eastAsia" w:ascii="宋体" w:hAnsi="宋体" w:cs="宋体"/>
                <w:sz w:val="18"/>
                <w:szCs w:val="18"/>
                <w:highlight w:val="none"/>
              </w:rPr>
              <w:br w:type="textWrapping"/>
            </w:r>
            <w:r>
              <w:rPr>
                <w:rFonts w:hint="eastAsia" w:ascii="宋体" w:hAnsi="宋体" w:cs="宋体"/>
                <w:sz w:val="18"/>
                <w:szCs w:val="18"/>
                <w:highlight w:val="none"/>
              </w:rPr>
              <w:t>通讯接口: 1个RJ45 10M/100M 自适应以太网口</w:t>
            </w:r>
            <w:r>
              <w:rPr>
                <w:rFonts w:hint="eastAsia" w:ascii="宋体" w:hAnsi="宋体" w:cs="宋体"/>
                <w:sz w:val="18"/>
                <w:szCs w:val="18"/>
                <w:highlight w:val="none"/>
              </w:rPr>
              <w:br w:type="textWrapping"/>
            </w:r>
            <w:r>
              <w:rPr>
                <w:rFonts w:hint="eastAsia" w:ascii="宋体" w:hAnsi="宋体" w:cs="宋体"/>
                <w:sz w:val="18"/>
                <w:szCs w:val="18"/>
                <w:highlight w:val="none"/>
              </w:rPr>
              <w:t>音频接口: 1个内置麦克风</w:t>
            </w:r>
            <w:r>
              <w:rPr>
                <w:rFonts w:hint="eastAsia" w:ascii="宋体" w:hAnsi="宋体" w:cs="宋体"/>
                <w:sz w:val="18"/>
                <w:szCs w:val="18"/>
                <w:highlight w:val="none"/>
              </w:rPr>
              <w:br w:type="textWrapping"/>
            </w:r>
            <w:r>
              <w:rPr>
                <w:rFonts w:hint="eastAsia" w:ascii="宋体" w:hAnsi="宋体" w:cs="宋体"/>
                <w:sz w:val="18"/>
                <w:szCs w:val="18"/>
                <w:highlight w:val="none"/>
              </w:rPr>
              <w:t>工作温度和湿度: -30℃~60℃,湿度小于95%(无凝结)</w:t>
            </w:r>
            <w:r>
              <w:rPr>
                <w:rFonts w:hint="eastAsia" w:ascii="宋体" w:hAnsi="宋体" w:cs="宋体"/>
                <w:sz w:val="18"/>
                <w:szCs w:val="18"/>
                <w:highlight w:val="none"/>
              </w:rPr>
              <w:br w:type="textWrapping"/>
            </w:r>
            <w:r>
              <w:rPr>
                <w:rFonts w:hint="eastAsia" w:ascii="宋体" w:hAnsi="宋体" w:cs="宋体"/>
                <w:sz w:val="18"/>
                <w:szCs w:val="18"/>
                <w:highlight w:val="none"/>
              </w:rPr>
              <w:t>电源供应: DC：12V±25%，支持防反接保护/防反接功能；</w:t>
            </w:r>
            <w:r>
              <w:rPr>
                <w:rFonts w:hint="eastAsia" w:ascii="宋体" w:hAnsi="宋体" w:cs="宋体"/>
                <w:sz w:val="18"/>
                <w:szCs w:val="18"/>
                <w:highlight w:val="none"/>
              </w:rPr>
              <w:br w:type="textWrapping"/>
            </w:r>
            <w:r>
              <w:rPr>
                <w:rFonts w:hint="eastAsia" w:ascii="宋体" w:hAnsi="宋体" w:cs="宋体"/>
                <w:sz w:val="18"/>
                <w:szCs w:val="18"/>
                <w:highlight w:val="none"/>
              </w:rPr>
              <w:t>电源接口类型: Φ5.5圆头电源接口</w:t>
            </w:r>
            <w:r>
              <w:rPr>
                <w:rFonts w:hint="eastAsia" w:ascii="宋体" w:hAnsi="宋体" w:cs="宋体"/>
                <w:sz w:val="18"/>
                <w:szCs w:val="18"/>
                <w:highlight w:val="none"/>
              </w:rPr>
              <w:br w:type="textWrapping"/>
            </w:r>
            <w:r>
              <w:rPr>
                <w:rFonts w:hint="eastAsia" w:ascii="宋体" w:hAnsi="宋体" w:cs="宋体"/>
                <w:sz w:val="18"/>
                <w:szCs w:val="18"/>
                <w:highlight w:val="none"/>
              </w:rPr>
              <w:t>功耗: DC： 12 V, 0.42 A, Max： 5W</w:t>
            </w:r>
            <w:r>
              <w:rPr>
                <w:rFonts w:hint="eastAsia" w:ascii="宋体" w:hAnsi="宋体" w:cs="宋体"/>
                <w:sz w:val="18"/>
                <w:szCs w:val="18"/>
                <w:highlight w:val="none"/>
              </w:rPr>
              <w:br w:type="textWrapping"/>
            </w:r>
            <w:r>
              <w:rPr>
                <w:rFonts w:hint="eastAsia" w:ascii="宋体" w:hAnsi="宋体" w:cs="宋体"/>
                <w:sz w:val="18"/>
                <w:szCs w:val="18"/>
                <w:highlight w:val="none"/>
              </w:rPr>
              <w:t>防护等级: IP66</w:t>
            </w:r>
            <w:r>
              <w:rPr>
                <w:rFonts w:hint="eastAsia" w:ascii="宋体" w:hAnsi="宋体" w:cs="宋体"/>
                <w:sz w:val="18"/>
                <w:szCs w:val="18"/>
                <w:highlight w:val="none"/>
              </w:rPr>
              <w:br w:type="textWrapping"/>
            </w:r>
            <w:r>
              <w:rPr>
                <w:rFonts w:hint="eastAsia" w:ascii="宋体" w:hAnsi="宋体" w:cs="宋体"/>
                <w:sz w:val="18"/>
                <w:szCs w:val="18"/>
                <w:highlight w:val="none"/>
              </w:rPr>
              <w:t>补光照射距离: 暖光最远可达30 m</w:t>
            </w:r>
            <w:r>
              <w:rPr>
                <w:rFonts w:hint="eastAsia" w:ascii="宋体" w:hAnsi="宋体" w:cs="宋体"/>
                <w:sz w:val="18"/>
                <w:szCs w:val="18"/>
                <w:highlight w:val="none"/>
              </w:rPr>
              <w:br w:type="textWrapping"/>
            </w:r>
            <w:r>
              <w:rPr>
                <w:rFonts w:hint="eastAsia" w:ascii="宋体" w:hAnsi="宋体" w:cs="宋体"/>
                <w:sz w:val="18"/>
                <w:szCs w:val="18"/>
                <w:highlight w:val="none"/>
              </w:rPr>
              <w:t>尺寸(mm): 114 × 110 × 220</w:t>
            </w:r>
            <w:r>
              <w:rPr>
                <w:rFonts w:hint="eastAsia" w:ascii="宋体" w:hAnsi="宋体" w:cs="宋体"/>
                <w:sz w:val="18"/>
                <w:szCs w:val="18"/>
                <w:highlight w:val="none"/>
              </w:rPr>
              <w:br w:type="textWrapping"/>
            </w:r>
            <w:r>
              <w:rPr>
                <w:rFonts w:hint="eastAsia" w:ascii="宋体" w:hAnsi="宋体" w:cs="宋体"/>
                <w:sz w:val="18"/>
                <w:szCs w:val="18"/>
                <w:highlight w:val="none"/>
              </w:rPr>
              <w:t>重量: 裸机:880 g; 带包装:1150 g</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1、具有200万像素CMOS传感器。内置2颗白光补光灯。</w:t>
            </w:r>
            <w:r>
              <w:rPr>
                <w:rFonts w:hint="eastAsia" w:ascii="宋体" w:hAnsi="宋体" w:cs="宋体"/>
                <w:sz w:val="18"/>
                <w:szCs w:val="18"/>
                <w:highlight w:val="none"/>
              </w:rPr>
              <w:br w:type="textWrapping"/>
            </w:r>
            <w:r>
              <w:rPr>
                <w:rFonts w:hint="eastAsia" w:ascii="宋体" w:hAnsi="宋体" w:cs="宋体"/>
                <w:sz w:val="18"/>
                <w:szCs w:val="18"/>
                <w:highlight w:val="none"/>
              </w:rPr>
              <w:t>2、需具有20路取流路数能力，以满足更多用户同时在线访问摄像机视频。</w:t>
            </w:r>
            <w:r>
              <w:rPr>
                <w:rFonts w:hint="eastAsia" w:ascii="宋体" w:hAnsi="宋体" w:cs="宋体"/>
                <w:sz w:val="18"/>
                <w:szCs w:val="18"/>
                <w:highlight w:val="none"/>
              </w:rPr>
              <w:br w:type="textWrapping"/>
            </w:r>
            <w:r>
              <w:rPr>
                <w:rFonts w:hint="eastAsia" w:ascii="宋体" w:hAnsi="宋体" w:cs="宋体"/>
                <w:sz w:val="18"/>
                <w:szCs w:val="18"/>
                <w:highlight w:val="none"/>
              </w:rPr>
              <w:t>3、最低照度彩色：0.0004lx。白天或夜晚均可输出彩色视频图像。</w:t>
            </w:r>
            <w:r>
              <w:rPr>
                <w:rFonts w:hint="eastAsia" w:ascii="宋体" w:hAnsi="宋体" w:cs="宋体"/>
                <w:sz w:val="18"/>
                <w:szCs w:val="18"/>
                <w:highlight w:val="none"/>
              </w:rPr>
              <w:br w:type="textWrapping"/>
            </w:r>
            <w:r>
              <w:rPr>
                <w:rFonts w:hint="eastAsia" w:ascii="宋体" w:hAnsi="宋体" w:cs="宋体"/>
                <w:sz w:val="18"/>
                <w:szCs w:val="18"/>
                <w:highlight w:val="none"/>
              </w:rPr>
              <w:t>4、需支持三码流技术，可同时浏览三路码流，主码流最高1920x1080@30fps，第三码流最大1920x1080@30fps，子码流704x480@30fps。</w:t>
            </w:r>
            <w:r>
              <w:rPr>
                <w:rFonts w:hint="eastAsia" w:ascii="宋体" w:hAnsi="宋体" w:cs="宋体"/>
                <w:sz w:val="18"/>
                <w:szCs w:val="18"/>
                <w:highlight w:val="none"/>
              </w:rPr>
              <w:br w:type="textWrapping"/>
            </w:r>
            <w:r>
              <w:rPr>
                <w:rFonts w:hint="eastAsia" w:ascii="宋体" w:hAnsi="宋体" w:cs="宋体"/>
                <w:sz w:val="18"/>
                <w:szCs w:val="18"/>
                <w:highlight w:val="none"/>
              </w:rPr>
              <w:t>5、在1920x1080@25fps下，清晰度不小于1100TVL。支持H.264、H.265、MJPEG视频编码格式，其中H.264支持Baseline/Main/HighProfile。</w:t>
            </w:r>
            <w:r>
              <w:rPr>
                <w:rFonts w:hint="eastAsia" w:ascii="宋体" w:hAnsi="宋体" w:cs="宋体"/>
                <w:sz w:val="18"/>
                <w:szCs w:val="18"/>
                <w:highlight w:val="none"/>
              </w:rPr>
              <w:br w:type="textWrapping"/>
            </w:r>
            <w:r>
              <w:rPr>
                <w:rFonts w:hint="eastAsia" w:ascii="宋体" w:hAnsi="宋体" w:cs="宋体"/>
                <w:sz w:val="18"/>
                <w:szCs w:val="18"/>
                <w:highlight w:val="none"/>
              </w:rPr>
              <w:t>6、信噪比不小于59dB。需具大于105dB宽动态。</w:t>
            </w:r>
            <w:r>
              <w:rPr>
                <w:rFonts w:hint="eastAsia" w:ascii="宋体" w:hAnsi="宋体" w:cs="宋体"/>
                <w:sz w:val="18"/>
                <w:szCs w:val="18"/>
                <w:highlight w:val="none"/>
              </w:rPr>
              <w:br w:type="textWrapping"/>
            </w:r>
            <w:r>
              <w:rPr>
                <w:rFonts w:hint="eastAsia" w:ascii="宋体" w:hAnsi="宋体" w:cs="宋体"/>
                <w:sz w:val="18"/>
                <w:szCs w:val="18"/>
                <w:highlight w:val="none"/>
              </w:rPr>
              <w:t>7、需支持8行字符显示，字体颜色可设置，需具有图片叠加到视频画面功能。</w:t>
            </w:r>
            <w:r>
              <w:rPr>
                <w:rFonts w:hint="eastAsia" w:ascii="宋体" w:hAnsi="宋体" w:cs="宋体"/>
                <w:sz w:val="18"/>
                <w:szCs w:val="18"/>
                <w:highlight w:val="none"/>
              </w:rPr>
              <w:br w:type="textWrapping"/>
            </w:r>
            <w:r>
              <w:rPr>
                <w:rFonts w:hint="eastAsia" w:ascii="宋体" w:hAnsi="宋体" w:cs="宋体"/>
                <w:sz w:val="18"/>
                <w:szCs w:val="18"/>
                <w:highlight w:val="none"/>
              </w:rPr>
              <w:t>8、支持区域遮盖功能，并能支持4块区域。需具有黑白名单功能，其中白名单可添加不小于10个MAC地址。</w:t>
            </w:r>
            <w:r>
              <w:rPr>
                <w:rFonts w:hint="eastAsia" w:ascii="宋体" w:hAnsi="宋体" w:cs="宋体"/>
                <w:sz w:val="18"/>
                <w:szCs w:val="18"/>
                <w:highlight w:val="none"/>
              </w:rPr>
              <w:br w:type="textWrapping"/>
            </w:r>
            <w:r>
              <w:rPr>
                <w:rFonts w:hint="eastAsia" w:ascii="宋体" w:hAnsi="宋体" w:cs="宋体"/>
                <w:sz w:val="18"/>
                <w:szCs w:val="18"/>
                <w:highlight w:val="none"/>
              </w:rPr>
              <w:t>9、需具备人脸检测、区域入侵检测、越界检测、虚焦检测、进入区域、离开区域、徘徊、人员聚集、场景变更等功能。可开启或关闭智能后检索功能。</w:t>
            </w:r>
            <w:r>
              <w:rPr>
                <w:rFonts w:hint="eastAsia" w:ascii="宋体" w:hAnsi="宋体" w:cs="宋体"/>
                <w:sz w:val="18"/>
                <w:szCs w:val="18"/>
                <w:highlight w:val="none"/>
              </w:rPr>
              <w:br w:type="textWrapping"/>
            </w:r>
            <w:r>
              <w:rPr>
                <w:rFonts w:hint="eastAsia" w:ascii="宋体" w:hAnsi="宋体" w:cs="宋体"/>
                <w:sz w:val="18"/>
                <w:szCs w:val="18"/>
                <w:highlight w:val="none"/>
              </w:rPr>
              <w:t>10、需具有电子防抖、ROI感兴趣区域、SVC可伸缩编码、自动增益、背光补偿、数字降噪、强光抑制、防红外过曝等功能。</w:t>
            </w:r>
            <w:r>
              <w:rPr>
                <w:rFonts w:hint="eastAsia" w:ascii="宋体" w:hAnsi="宋体" w:cs="宋体"/>
                <w:sz w:val="18"/>
                <w:szCs w:val="18"/>
                <w:highlight w:val="none"/>
              </w:rPr>
              <w:br w:type="textWrapping"/>
            </w:r>
            <w:r>
              <w:rPr>
                <w:rFonts w:hint="eastAsia" w:ascii="宋体" w:hAnsi="宋体" w:cs="宋体"/>
                <w:sz w:val="18"/>
                <w:szCs w:val="18"/>
                <w:highlight w:val="none"/>
              </w:rPr>
              <w:t>11、摄像机能够在-45~70摄氏度，湿度小于93%环境下稳定工作。</w:t>
            </w:r>
            <w:r>
              <w:rPr>
                <w:rFonts w:hint="eastAsia" w:ascii="宋体" w:hAnsi="宋体" w:cs="宋体"/>
                <w:sz w:val="18"/>
                <w:szCs w:val="18"/>
                <w:highlight w:val="none"/>
              </w:rPr>
              <w:br w:type="textWrapping"/>
            </w:r>
            <w:r>
              <w:rPr>
                <w:rFonts w:hint="eastAsia" w:ascii="宋体" w:hAnsi="宋体" w:cs="宋体"/>
                <w:sz w:val="18"/>
                <w:szCs w:val="18"/>
                <w:highlight w:val="none"/>
              </w:rPr>
              <w:t>12、同一静止场景相同图像质量下，设备在H.265编码方式时，开启智能编码功能和不开启智能编码相比，码率节约1/2。</w:t>
            </w:r>
          </w:p>
        </w:tc>
      </w:tr>
      <w:tr>
        <w:tblPrEx>
          <w:tblCellMar>
            <w:top w:w="0" w:type="dxa"/>
            <w:left w:w="0" w:type="dxa"/>
            <w:bottom w:w="0" w:type="dxa"/>
            <w:right w:w="0" w:type="dxa"/>
          </w:tblCellMar>
        </w:tblPrEx>
        <w:trPr>
          <w:trHeight w:val="579"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电源适配器</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12V/1A圆头、插墙式，国标，输出线长1500mm</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579"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摄像机支架</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壁装支架/</w:t>
            </w:r>
            <w:r>
              <w:rPr>
                <w:rFonts w:hint="eastAsia" w:ascii="宋体" w:hAnsi="宋体" w:cs="宋体"/>
                <w:color w:val="FF0000"/>
                <w:sz w:val="18"/>
                <w:szCs w:val="18"/>
                <w:highlight w:val="none"/>
              </w:rPr>
              <w:t>白</w:t>
            </w:r>
            <w:r>
              <w:rPr>
                <w:rFonts w:hint="eastAsia" w:ascii="宋体" w:hAnsi="宋体" w:cs="宋体"/>
                <w:sz w:val="18"/>
                <w:szCs w:val="18"/>
                <w:highlight w:val="none"/>
              </w:rPr>
              <w:t>/铝合金/尺寸70×97.1×173.4mm</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350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网络摄像机</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200万1/2.7" CMOS 全彩半球型网络摄像机</w:t>
            </w:r>
            <w:r>
              <w:rPr>
                <w:rFonts w:hint="eastAsia" w:ascii="宋体" w:hAnsi="宋体" w:cs="宋体"/>
                <w:sz w:val="18"/>
                <w:szCs w:val="18"/>
                <w:highlight w:val="none"/>
              </w:rPr>
              <w:br w:type="textWrapping"/>
            </w:r>
            <w:r>
              <w:rPr>
                <w:rFonts w:hint="eastAsia" w:ascii="宋体" w:hAnsi="宋体" w:cs="宋体"/>
                <w:sz w:val="18"/>
                <w:szCs w:val="18"/>
                <w:highlight w:val="none"/>
              </w:rPr>
              <w:t>最小照度: 彩色:0.0005Lux@F1.0,AGC ON;0Lux with Light</w:t>
            </w:r>
            <w:r>
              <w:rPr>
                <w:rFonts w:hint="eastAsia" w:ascii="宋体" w:hAnsi="宋体" w:cs="宋体"/>
                <w:sz w:val="18"/>
                <w:szCs w:val="18"/>
                <w:highlight w:val="none"/>
              </w:rPr>
              <w:br w:type="textWrapping"/>
            </w:r>
            <w:r>
              <w:rPr>
                <w:rFonts w:hint="eastAsia" w:ascii="宋体" w:hAnsi="宋体" w:cs="宋体"/>
                <w:sz w:val="18"/>
                <w:szCs w:val="18"/>
                <w:highlight w:val="none"/>
              </w:rPr>
              <w:t>镜头:</w:t>
            </w:r>
            <w:r>
              <w:rPr>
                <w:rFonts w:hint="eastAsia" w:ascii="宋体" w:hAnsi="宋体" w:cs="宋体"/>
                <w:sz w:val="18"/>
                <w:szCs w:val="18"/>
                <w:highlight w:val="none"/>
              </w:rPr>
              <w:br w:type="textWrapping"/>
            </w:r>
            <w:r>
              <w:rPr>
                <w:rFonts w:hint="eastAsia" w:ascii="宋体" w:hAnsi="宋体" w:cs="宋体"/>
                <w:sz w:val="18"/>
                <w:szCs w:val="18"/>
                <w:highlight w:val="none"/>
              </w:rPr>
              <w:t>2.8 mm@ F1.0, 水平视场角：111.7°，垂直视场角：56.8°，对角线视场角：137.8°</w:t>
            </w:r>
            <w:r>
              <w:rPr>
                <w:rFonts w:hint="eastAsia" w:ascii="宋体" w:hAnsi="宋体" w:cs="宋体"/>
                <w:sz w:val="18"/>
                <w:szCs w:val="18"/>
                <w:highlight w:val="none"/>
              </w:rPr>
              <w:br w:type="textWrapping"/>
            </w:r>
            <w:r>
              <w:rPr>
                <w:rFonts w:hint="eastAsia" w:ascii="宋体" w:hAnsi="宋体" w:cs="宋体"/>
                <w:sz w:val="18"/>
                <w:szCs w:val="18"/>
                <w:highlight w:val="none"/>
              </w:rPr>
              <w:t>4 mm@ F1.0, 水平视场角：89°，垂直视场角：46.6°，对角线视场角：105.4°</w:t>
            </w:r>
            <w:r>
              <w:rPr>
                <w:rFonts w:hint="eastAsia" w:ascii="宋体" w:hAnsi="宋体" w:cs="宋体"/>
                <w:sz w:val="18"/>
                <w:szCs w:val="18"/>
                <w:highlight w:val="none"/>
              </w:rPr>
              <w:br w:type="textWrapping"/>
            </w:r>
            <w:r>
              <w:rPr>
                <w:rFonts w:hint="eastAsia" w:ascii="宋体" w:hAnsi="宋体" w:cs="宋体"/>
                <w:sz w:val="18"/>
                <w:szCs w:val="18"/>
                <w:highlight w:val="none"/>
              </w:rPr>
              <w:t>6 mm@ F1.0, 水平视场角：54°，垂直视场角：29.6°，对角线视场角：62.9°</w:t>
            </w:r>
            <w:r>
              <w:rPr>
                <w:rFonts w:hint="eastAsia" w:ascii="宋体" w:hAnsi="宋体" w:cs="宋体"/>
                <w:sz w:val="18"/>
                <w:szCs w:val="18"/>
                <w:highlight w:val="none"/>
              </w:rPr>
              <w:br w:type="textWrapping"/>
            </w:r>
            <w:r>
              <w:rPr>
                <w:rFonts w:hint="eastAsia" w:ascii="宋体" w:hAnsi="宋体" w:cs="宋体"/>
                <w:sz w:val="18"/>
                <w:szCs w:val="18"/>
                <w:highlight w:val="none"/>
              </w:rPr>
              <w:t>8 mm@ F1.0, 水平视场角：42.2°，垂直视场角：23.1°，对角线视场角：49.2°</w:t>
            </w:r>
            <w:r>
              <w:rPr>
                <w:rFonts w:hint="eastAsia" w:ascii="宋体" w:hAnsi="宋体" w:cs="宋体"/>
                <w:sz w:val="18"/>
                <w:szCs w:val="18"/>
                <w:highlight w:val="none"/>
              </w:rPr>
              <w:br w:type="textWrapping"/>
            </w:r>
            <w:r>
              <w:rPr>
                <w:rFonts w:hint="eastAsia" w:ascii="宋体" w:hAnsi="宋体" w:cs="宋体"/>
                <w:sz w:val="18"/>
                <w:szCs w:val="18"/>
                <w:highlight w:val="none"/>
              </w:rPr>
              <w:t xml:space="preserve">景深范围: </w:t>
            </w:r>
            <w:r>
              <w:rPr>
                <w:rFonts w:hint="eastAsia" w:ascii="宋体" w:hAnsi="宋体" w:cs="宋体"/>
                <w:sz w:val="18"/>
                <w:szCs w:val="18"/>
                <w:highlight w:val="none"/>
              </w:rPr>
              <w:br w:type="textWrapping"/>
            </w:r>
            <w:r>
              <w:rPr>
                <w:rFonts w:hint="eastAsia" w:ascii="宋体" w:hAnsi="宋体" w:cs="宋体"/>
                <w:sz w:val="18"/>
                <w:szCs w:val="18"/>
                <w:highlight w:val="none"/>
              </w:rPr>
              <w:t>2.8 mm: 1.7 m~∞</w:t>
            </w:r>
            <w:r>
              <w:rPr>
                <w:rFonts w:hint="eastAsia" w:ascii="宋体" w:hAnsi="宋体" w:cs="宋体"/>
                <w:sz w:val="18"/>
                <w:szCs w:val="18"/>
                <w:highlight w:val="none"/>
              </w:rPr>
              <w:br w:type="textWrapping"/>
            </w:r>
            <w:r>
              <w:rPr>
                <w:rFonts w:hint="eastAsia" w:ascii="宋体" w:hAnsi="宋体" w:cs="宋体"/>
                <w:sz w:val="18"/>
                <w:szCs w:val="18"/>
                <w:highlight w:val="none"/>
              </w:rPr>
              <w:t>4 mm: 2.1 m~∞</w:t>
            </w:r>
            <w:r>
              <w:rPr>
                <w:rFonts w:hint="eastAsia" w:ascii="宋体" w:hAnsi="宋体" w:cs="宋体"/>
                <w:sz w:val="18"/>
                <w:szCs w:val="18"/>
                <w:highlight w:val="none"/>
              </w:rPr>
              <w:br w:type="textWrapping"/>
            </w:r>
            <w:r>
              <w:rPr>
                <w:rFonts w:hint="eastAsia" w:ascii="宋体" w:hAnsi="宋体" w:cs="宋体"/>
                <w:sz w:val="18"/>
                <w:szCs w:val="18"/>
                <w:highlight w:val="none"/>
              </w:rPr>
              <w:t>6 mm: 5.4 m~∞</w:t>
            </w:r>
            <w:r>
              <w:rPr>
                <w:rFonts w:hint="eastAsia" w:ascii="宋体" w:hAnsi="宋体" w:cs="宋体"/>
                <w:sz w:val="18"/>
                <w:szCs w:val="18"/>
                <w:highlight w:val="none"/>
              </w:rPr>
              <w:br w:type="textWrapping"/>
            </w:r>
            <w:r>
              <w:rPr>
                <w:rFonts w:hint="eastAsia" w:ascii="宋体" w:hAnsi="宋体" w:cs="宋体"/>
                <w:sz w:val="18"/>
                <w:szCs w:val="18"/>
                <w:highlight w:val="none"/>
              </w:rPr>
              <w:t>8 mm: 8.8 m~∞</w:t>
            </w:r>
            <w:r>
              <w:rPr>
                <w:rFonts w:hint="eastAsia" w:ascii="宋体" w:hAnsi="宋体" w:cs="宋体"/>
                <w:sz w:val="18"/>
                <w:szCs w:val="18"/>
                <w:highlight w:val="none"/>
              </w:rPr>
              <w:br w:type="textWrapping"/>
            </w:r>
            <w:r>
              <w:rPr>
                <w:rFonts w:hint="eastAsia" w:ascii="宋体" w:hAnsi="宋体" w:cs="宋体"/>
                <w:sz w:val="18"/>
                <w:szCs w:val="18"/>
                <w:highlight w:val="none"/>
              </w:rPr>
              <w:t>调整角度: 水平:0~360°,垂直:0~75°, 旋转:0~360°</w:t>
            </w:r>
            <w:r>
              <w:rPr>
                <w:rFonts w:hint="eastAsia" w:ascii="宋体" w:hAnsi="宋体" w:cs="宋体"/>
                <w:sz w:val="18"/>
                <w:szCs w:val="18"/>
                <w:highlight w:val="none"/>
              </w:rPr>
              <w:br w:type="textWrapping"/>
            </w:r>
            <w:r>
              <w:rPr>
                <w:rFonts w:hint="eastAsia" w:ascii="宋体" w:hAnsi="宋体" w:cs="宋体"/>
                <w:sz w:val="18"/>
                <w:szCs w:val="18"/>
                <w:highlight w:val="none"/>
              </w:rPr>
              <w:t>宽动态范围: 120 dB</w:t>
            </w:r>
            <w:r>
              <w:rPr>
                <w:rFonts w:hint="eastAsia" w:ascii="宋体" w:hAnsi="宋体" w:cs="宋体"/>
                <w:sz w:val="18"/>
                <w:szCs w:val="18"/>
                <w:highlight w:val="none"/>
              </w:rPr>
              <w:br w:type="textWrapping"/>
            </w:r>
            <w:r>
              <w:rPr>
                <w:rFonts w:hint="eastAsia" w:ascii="宋体" w:hAnsi="宋体" w:cs="宋体"/>
                <w:sz w:val="18"/>
                <w:szCs w:val="18"/>
                <w:highlight w:val="none"/>
              </w:rPr>
              <w:t>视频压缩标准: H.265/H.264/MJPEG</w:t>
            </w:r>
            <w:r>
              <w:rPr>
                <w:rFonts w:hint="eastAsia" w:ascii="宋体" w:hAnsi="宋体" w:cs="宋体"/>
                <w:sz w:val="18"/>
                <w:szCs w:val="18"/>
                <w:highlight w:val="none"/>
              </w:rPr>
              <w:br w:type="textWrapping"/>
            </w:r>
            <w:r>
              <w:rPr>
                <w:rFonts w:hint="eastAsia" w:ascii="宋体" w:hAnsi="宋体" w:cs="宋体"/>
                <w:sz w:val="18"/>
                <w:szCs w:val="18"/>
                <w:highlight w:val="none"/>
              </w:rPr>
              <w:t>最大图像尺寸: 1920 × 1080</w:t>
            </w:r>
            <w:r>
              <w:rPr>
                <w:rFonts w:hint="eastAsia" w:ascii="宋体" w:hAnsi="宋体" w:cs="宋体"/>
                <w:sz w:val="18"/>
                <w:szCs w:val="18"/>
                <w:highlight w:val="none"/>
              </w:rPr>
              <w:br w:type="textWrapping"/>
            </w:r>
            <w:r>
              <w:rPr>
                <w:rFonts w:hint="eastAsia" w:ascii="宋体" w:hAnsi="宋体" w:cs="宋体"/>
                <w:sz w:val="18"/>
                <w:szCs w:val="18"/>
                <w:highlight w:val="none"/>
              </w:rPr>
              <w:t>通讯接口: 1个RJ45 10M/100M 自适应以太网口</w:t>
            </w:r>
            <w:r>
              <w:rPr>
                <w:rFonts w:hint="eastAsia" w:ascii="宋体" w:hAnsi="宋体" w:cs="宋体"/>
                <w:sz w:val="18"/>
                <w:szCs w:val="18"/>
                <w:highlight w:val="none"/>
              </w:rPr>
              <w:br w:type="textWrapping"/>
            </w:r>
            <w:r>
              <w:rPr>
                <w:rFonts w:hint="eastAsia" w:ascii="宋体" w:hAnsi="宋体" w:cs="宋体"/>
                <w:sz w:val="18"/>
                <w:szCs w:val="18"/>
                <w:highlight w:val="none"/>
              </w:rPr>
              <w:t>工作温度和湿度: -10 ℃~40 ℃, 湿度小于95%(无凝结)</w:t>
            </w:r>
            <w:r>
              <w:rPr>
                <w:rFonts w:hint="eastAsia" w:ascii="宋体" w:hAnsi="宋体" w:cs="宋体"/>
                <w:sz w:val="18"/>
                <w:szCs w:val="18"/>
                <w:highlight w:val="none"/>
              </w:rPr>
              <w:br w:type="textWrapping"/>
            </w:r>
            <w:r>
              <w:rPr>
                <w:rFonts w:hint="eastAsia" w:ascii="宋体" w:hAnsi="宋体" w:cs="宋体"/>
                <w:sz w:val="18"/>
                <w:szCs w:val="18"/>
                <w:highlight w:val="none"/>
              </w:rPr>
              <w:t>电源供应: DC12V±25%</w:t>
            </w:r>
            <w:r>
              <w:rPr>
                <w:rFonts w:hint="eastAsia" w:ascii="宋体" w:hAnsi="宋体" w:cs="宋体"/>
                <w:sz w:val="18"/>
                <w:szCs w:val="18"/>
                <w:highlight w:val="none"/>
              </w:rPr>
              <w:br w:type="textWrapping"/>
            </w:r>
            <w:r>
              <w:rPr>
                <w:rFonts w:hint="eastAsia" w:ascii="宋体" w:hAnsi="宋体" w:cs="宋体"/>
                <w:sz w:val="18"/>
                <w:szCs w:val="18"/>
                <w:highlight w:val="none"/>
              </w:rPr>
              <w:t>电源接口类型: Φ5.5圆头电源接口</w:t>
            </w:r>
            <w:r>
              <w:rPr>
                <w:rFonts w:hint="eastAsia" w:ascii="宋体" w:hAnsi="宋体" w:cs="宋体"/>
                <w:sz w:val="18"/>
                <w:szCs w:val="18"/>
                <w:highlight w:val="none"/>
              </w:rPr>
              <w:br w:type="textWrapping"/>
            </w:r>
            <w:r>
              <w:rPr>
                <w:rFonts w:hint="eastAsia" w:ascii="宋体" w:hAnsi="宋体" w:cs="宋体"/>
                <w:sz w:val="18"/>
                <w:szCs w:val="18"/>
                <w:highlight w:val="none"/>
              </w:rPr>
              <w:t>功耗: DC： 12 V, 0.5 A, Max： 6W</w:t>
            </w:r>
            <w:r>
              <w:rPr>
                <w:rFonts w:hint="eastAsia" w:ascii="宋体" w:hAnsi="宋体" w:cs="宋体"/>
                <w:sz w:val="18"/>
                <w:szCs w:val="18"/>
                <w:highlight w:val="none"/>
              </w:rPr>
              <w:br w:type="textWrapping"/>
            </w:r>
            <w:r>
              <w:rPr>
                <w:rFonts w:hint="eastAsia" w:ascii="宋体" w:hAnsi="宋体" w:cs="宋体"/>
                <w:sz w:val="18"/>
                <w:szCs w:val="18"/>
                <w:highlight w:val="none"/>
              </w:rPr>
              <w:t>防护等级: IP67</w:t>
            </w:r>
            <w:r>
              <w:rPr>
                <w:rFonts w:hint="eastAsia" w:ascii="宋体" w:hAnsi="宋体" w:cs="宋体"/>
                <w:sz w:val="18"/>
                <w:szCs w:val="18"/>
                <w:highlight w:val="none"/>
              </w:rPr>
              <w:br w:type="textWrapping"/>
            </w:r>
            <w:r>
              <w:rPr>
                <w:rFonts w:hint="eastAsia" w:ascii="宋体" w:hAnsi="宋体" w:cs="宋体"/>
                <w:sz w:val="18"/>
                <w:szCs w:val="18"/>
                <w:highlight w:val="none"/>
              </w:rPr>
              <w:t>补光照射距离: 暖光最远可达30 m</w:t>
            </w:r>
            <w:r>
              <w:rPr>
                <w:rFonts w:hint="eastAsia" w:ascii="宋体" w:hAnsi="宋体" w:cs="宋体"/>
                <w:sz w:val="18"/>
                <w:szCs w:val="18"/>
                <w:highlight w:val="none"/>
              </w:rPr>
              <w:br w:type="textWrapping"/>
            </w:r>
            <w:r>
              <w:rPr>
                <w:rFonts w:hint="eastAsia" w:ascii="宋体" w:hAnsi="宋体" w:cs="宋体"/>
                <w:sz w:val="18"/>
                <w:szCs w:val="18"/>
                <w:highlight w:val="none"/>
              </w:rPr>
              <w:t>尺寸(mm): Ø 130 × 103.6</w:t>
            </w:r>
            <w:r>
              <w:rPr>
                <w:rFonts w:hint="eastAsia" w:ascii="宋体" w:hAnsi="宋体" w:cs="宋体"/>
                <w:sz w:val="18"/>
                <w:szCs w:val="18"/>
                <w:highlight w:val="none"/>
              </w:rPr>
              <w:br w:type="textWrapping"/>
            </w:r>
            <w:r>
              <w:rPr>
                <w:rFonts w:hint="eastAsia" w:ascii="宋体" w:hAnsi="宋体" w:cs="宋体"/>
                <w:sz w:val="18"/>
                <w:szCs w:val="18"/>
                <w:highlight w:val="none"/>
              </w:rPr>
              <w:t>重量: 机身重量: 480 g; 带包装质量: 710 g</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1606"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6</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光纤收发器</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1口千兆光纤收发器工业导轨式发送机</w:t>
            </w:r>
            <w:r>
              <w:rPr>
                <w:rFonts w:hint="eastAsia" w:ascii="宋体" w:hAnsi="宋体" w:cs="宋体"/>
                <w:sz w:val="18"/>
                <w:szCs w:val="18"/>
                <w:highlight w:val="none"/>
              </w:rPr>
              <w:br w:type="textWrapping"/>
            </w:r>
            <w:r>
              <w:rPr>
                <w:rFonts w:hint="eastAsia" w:ascii="宋体" w:hAnsi="宋体" w:cs="宋体"/>
                <w:sz w:val="18"/>
                <w:szCs w:val="18"/>
                <w:highlight w:val="none"/>
              </w:rPr>
              <w:t>光口：1个千兆光口</w:t>
            </w:r>
            <w:r>
              <w:rPr>
                <w:rFonts w:hint="eastAsia" w:ascii="宋体" w:hAnsi="宋体" w:cs="宋体"/>
                <w:sz w:val="18"/>
                <w:szCs w:val="18"/>
                <w:highlight w:val="none"/>
              </w:rPr>
              <w:br w:type="textWrapping"/>
            </w:r>
            <w:r>
              <w:rPr>
                <w:rFonts w:hint="eastAsia" w:ascii="宋体" w:hAnsi="宋体" w:cs="宋体"/>
                <w:sz w:val="18"/>
                <w:szCs w:val="18"/>
                <w:highlight w:val="none"/>
              </w:rPr>
              <w:t>距离20公里</w:t>
            </w:r>
            <w:r>
              <w:rPr>
                <w:rFonts w:hint="eastAsia" w:ascii="宋体" w:hAnsi="宋体" w:cs="宋体"/>
                <w:sz w:val="18"/>
                <w:szCs w:val="18"/>
                <w:highlight w:val="none"/>
              </w:rPr>
              <w:br w:type="textWrapping"/>
            </w:r>
            <w:r>
              <w:rPr>
                <w:rFonts w:hint="eastAsia" w:ascii="宋体" w:hAnsi="宋体" w:cs="宋体"/>
                <w:sz w:val="18"/>
                <w:szCs w:val="18"/>
                <w:highlight w:val="none"/>
              </w:rPr>
              <w:t>FC口</w:t>
            </w:r>
            <w:r>
              <w:rPr>
                <w:rFonts w:hint="eastAsia" w:ascii="宋体" w:hAnsi="宋体" w:cs="宋体"/>
                <w:sz w:val="18"/>
                <w:szCs w:val="18"/>
                <w:highlight w:val="none"/>
              </w:rPr>
              <w:br w:type="textWrapping"/>
            </w:r>
            <w:r>
              <w:rPr>
                <w:rFonts w:hint="eastAsia" w:ascii="宋体" w:hAnsi="宋体" w:cs="宋体"/>
                <w:sz w:val="18"/>
                <w:szCs w:val="18"/>
                <w:highlight w:val="none"/>
              </w:rPr>
              <w:t>单模单纤；电口：1个千兆网口；安装方式：工业导轨式；</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1606"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光纤收发器</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1口千兆光纤收发器工业导轨式接收机</w:t>
            </w:r>
            <w:r>
              <w:rPr>
                <w:rFonts w:hint="eastAsia" w:ascii="宋体" w:hAnsi="宋体" w:cs="宋体"/>
                <w:sz w:val="18"/>
                <w:szCs w:val="18"/>
                <w:highlight w:val="none"/>
              </w:rPr>
              <w:br w:type="textWrapping"/>
            </w:r>
            <w:r>
              <w:rPr>
                <w:rFonts w:hint="eastAsia" w:ascii="宋体" w:hAnsi="宋体" w:cs="宋体"/>
                <w:sz w:val="18"/>
                <w:szCs w:val="18"/>
                <w:highlight w:val="none"/>
              </w:rPr>
              <w:t>光口：1个千兆光口</w:t>
            </w:r>
            <w:r>
              <w:rPr>
                <w:rFonts w:hint="eastAsia" w:ascii="宋体" w:hAnsi="宋体" w:cs="宋体"/>
                <w:sz w:val="18"/>
                <w:szCs w:val="18"/>
                <w:highlight w:val="none"/>
              </w:rPr>
              <w:br w:type="textWrapping"/>
            </w:r>
            <w:r>
              <w:rPr>
                <w:rFonts w:hint="eastAsia" w:ascii="宋体" w:hAnsi="宋体" w:cs="宋体"/>
                <w:sz w:val="18"/>
                <w:szCs w:val="18"/>
                <w:highlight w:val="none"/>
              </w:rPr>
              <w:t>距离20公里</w:t>
            </w:r>
            <w:r>
              <w:rPr>
                <w:rFonts w:hint="eastAsia" w:ascii="宋体" w:hAnsi="宋体" w:cs="宋体"/>
                <w:sz w:val="18"/>
                <w:szCs w:val="18"/>
                <w:highlight w:val="none"/>
              </w:rPr>
              <w:br w:type="textWrapping"/>
            </w:r>
            <w:r>
              <w:rPr>
                <w:rFonts w:hint="eastAsia" w:ascii="宋体" w:hAnsi="宋体" w:cs="宋体"/>
                <w:sz w:val="18"/>
                <w:szCs w:val="18"/>
                <w:highlight w:val="none"/>
              </w:rPr>
              <w:t>FC口</w:t>
            </w:r>
            <w:r>
              <w:rPr>
                <w:rFonts w:hint="eastAsia" w:ascii="宋体" w:hAnsi="宋体" w:cs="宋体"/>
                <w:sz w:val="18"/>
                <w:szCs w:val="18"/>
                <w:highlight w:val="none"/>
              </w:rPr>
              <w:br w:type="textWrapping"/>
            </w:r>
            <w:r>
              <w:rPr>
                <w:rFonts w:hint="eastAsia" w:ascii="宋体" w:hAnsi="宋体" w:cs="宋体"/>
                <w:sz w:val="18"/>
                <w:szCs w:val="18"/>
                <w:highlight w:val="none"/>
              </w:rPr>
              <w:t>单模单纤；电口：1个千兆网口；安装方式：工业导轨式；</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5398"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8</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UPS主机一体化机柜及相关部件</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在线式单进单出UPS主机,2400W/3000VA,长延时机型，高频机，塔式</w:t>
            </w:r>
            <w:r>
              <w:rPr>
                <w:rFonts w:hint="eastAsia" w:ascii="宋体" w:hAnsi="宋体" w:cs="宋体"/>
                <w:sz w:val="18"/>
                <w:szCs w:val="18"/>
                <w:highlight w:val="none"/>
              </w:rPr>
              <w:br w:type="textWrapping"/>
            </w:r>
            <w:r>
              <w:rPr>
                <w:rFonts w:hint="eastAsia" w:ascii="宋体" w:hAnsi="宋体" w:cs="宋体"/>
                <w:sz w:val="18"/>
                <w:szCs w:val="18"/>
                <w:highlight w:val="none"/>
              </w:rPr>
              <w:t>额定容量：2400W/3000VA</w:t>
            </w:r>
            <w:r>
              <w:rPr>
                <w:rFonts w:hint="eastAsia" w:ascii="宋体" w:hAnsi="宋体" w:cs="宋体"/>
                <w:sz w:val="18"/>
                <w:szCs w:val="18"/>
                <w:highlight w:val="none"/>
              </w:rPr>
              <w:br w:type="textWrapping"/>
            </w:r>
            <w:r>
              <w:rPr>
                <w:rFonts w:hint="eastAsia" w:ascii="宋体" w:hAnsi="宋体" w:cs="宋体"/>
                <w:sz w:val="18"/>
                <w:szCs w:val="18"/>
                <w:highlight w:val="none"/>
              </w:rPr>
              <w:t>额定输入电压：220Vac</w:t>
            </w:r>
            <w:r>
              <w:rPr>
                <w:rFonts w:hint="eastAsia" w:ascii="宋体" w:hAnsi="宋体" w:cs="宋体"/>
                <w:sz w:val="18"/>
                <w:szCs w:val="18"/>
                <w:highlight w:val="none"/>
              </w:rPr>
              <w:br w:type="textWrapping"/>
            </w:r>
            <w:r>
              <w:rPr>
                <w:rFonts w:hint="eastAsia" w:ascii="宋体" w:hAnsi="宋体" w:cs="宋体"/>
                <w:sz w:val="18"/>
                <w:szCs w:val="18"/>
                <w:highlight w:val="none"/>
              </w:rPr>
              <w:t>输入电压范围：115～295Vac</w:t>
            </w:r>
            <w:r>
              <w:rPr>
                <w:rFonts w:hint="eastAsia" w:ascii="宋体" w:hAnsi="宋体" w:cs="宋体"/>
                <w:sz w:val="18"/>
                <w:szCs w:val="18"/>
                <w:highlight w:val="none"/>
              </w:rPr>
              <w:br w:type="textWrapping"/>
            </w:r>
            <w:r>
              <w:rPr>
                <w:rFonts w:hint="eastAsia" w:ascii="宋体" w:hAnsi="宋体" w:cs="宋体"/>
                <w:sz w:val="18"/>
                <w:szCs w:val="18"/>
                <w:highlight w:val="none"/>
              </w:rPr>
              <w:t>相数：单相三线</w:t>
            </w:r>
            <w:r>
              <w:rPr>
                <w:rFonts w:hint="eastAsia" w:ascii="宋体" w:hAnsi="宋体" w:cs="宋体"/>
                <w:sz w:val="18"/>
                <w:szCs w:val="18"/>
                <w:highlight w:val="none"/>
              </w:rPr>
              <w:br w:type="textWrapping"/>
            </w:r>
            <w:r>
              <w:rPr>
                <w:rFonts w:hint="eastAsia" w:ascii="宋体" w:hAnsi="宋体" w:cs="宋体"/>
                <w:sz w:val="18"/>
                <w:szCs w:val="18"/>
                <w:highlight w:val="none"/>
              </w:rPr>
              <w:t>输入频率范围：45 Hz～55 Hz</w:t>
            </w:r>
            <w:r>
              <w:rPr>
                <w:rFonts w:hint="eastAsia" w:ascii="宋体" w:hAnsi="宋体" w:cs="宋体"/>
                <w:sz w:val="18"/>
                <w:szCs w:val="18"/>
                <w:highlight w:val="none"/>
              </w:rPr>
              <w:br w:type="textWrapping"/>
            </w:r>
            <w:r>
              <w:rPr>
                <w:rFonts w:hint="eastAsia" w:ascii="宋体" w:hAnsi="宋体" w:cs="宋体"/>
                <w:sz w:val="18"/>
                <w:szCs w:val="18"/>
                <w:highlight w:val="none"/>
              </w:rPr>
              <w:t>输入功率因数;≥0.98</w:t>
            </w:r>
            <w:r>
              <w:rPr>
                <w:rFonts w:hint="eastAsia" w:ascii="宋体" w:hAnsi="宋体" w:cs="宋体"/>
                <w:sz w:val="18"/>
                <w:szCs w:val="18"/>
                <w:highlight w:val="none"/>
              </w:rPr>
              <w:br w:type="textWrapping"/>
            </w:r>
            <w:r>
              <w:rPr>
                <w:rFonts w:hint="eastAsia" w:ascii="宋体" w:hAnsi="宋体" w:cs="宋体"/>
                <w:sz w:val="18"/>
                <w:szCs w:val="18"/>
                <w:highlight w:val="none"/>
              </w:rPr>
              <w:t>输出电压:220(1±2%)Vac</w:t>
            </w:r>
            <w:r>
              <w:rPr>
                <w:rFonts w:hint="eastAsia" w:ascii="宋体" w:hAnsi="宋体" w:cs="宋体"/>
                <w:sz w:val="18"/>
                <w:szCs w:val="18"/>
                <w:highlight w:val="none"/>
              </w:rPr>
              <w:br w:type="textWrapping"/>
            </w:r>
            <w:r>
              <w:rPr>
                <w:rFonts w:hint="eastAsia" w:ascii="宋体" w:hAnsi="宋体" w:cs="宋体"/>
                <w:sz w:val="18"/>
                <w:szCs w:val="18"/>
                <w:highlight w:val="none"/>
              </w:rPr>
              <w:t>输出频率:1、输入频率在范围内，输出跟输入一致；2、当输入频率超出范围，转电池模式工作，输出频率（50±0.2）；3、50（±0.2）电池模式</w:t>
            </w:r>
            <w:r>
              <w:rPr>
                <w:rFonts w:hint="eastAsia" w:ascii="宋体" w:hAnsi="宋体" w:cs="宋体"/>
                <w:sz w:val="18"/>
                <w:szCs w:val="18"/>
                <w:highlight w:val="none"/>
              </w:rPr>
              <w:br w:type="textWrapping"/>
            </w:r>
            <w:r>
              <w:rPr>
                <w:rFonts w:hint="eastAsia" w:ascii="宋体" w:hAnsi="宋体" w:cs="宋体"/>
                <w:sz w:val="18"/>
                <w:szCs w:val="18"/>
                <w:highlight w:val="none"/>
              </w:rPr>
              <w:t>整机效率≥90%</w:t>
            </w:r>
            <w:r>
              <w:rPr>
                <w:rFonts w:hint="eastAsia" w:ascii="宋体" w:hAnsi="宋体" w:cs="宋体"/>
                <w:sz w:val="18"/>
                <w:szCs w:val="18"/>
                <w:highlight w:val="none"/>
              </w:rPr>
              <w:br w:type="textWrapping"/>
            </w:r>
            <w:r>
              <w:rPr>
                <w:rFonts w:hint="eastAsia" w:ascii="宋体" w:hAnsi="宋体" w:cs="宋体"/>
                <w:sz w:val="18"/>
                <w:szCs w:val="18"/>
                <w:highlight w:val="none"/>
              </w:rPr>
              <w:t>功率因数:0.8</w:t>
            </w:r>
            <w:r>
              <w:rPr>
                <w:rFonts w:hint="eastAsia" w:ascii="宋体" w:hAnsi="宋体" w:cs="宋体"/>
                <w:sz w:val="18"/>
                <w:szCs w:val="18"/>
                <w:highlight w:val="none"/>
              </w:rPr>
              <w:br w:type="textWrapping"/>
            </w:r>
            <w:r>
              <w:rPr>
                <w:rFonts w:hint="eastAsia" w:ascii="宋体" w:hAnsi="宋体" w:cs="宋体"/>
                <w:sz w:val="18"/>
                <w:szCs w:val="18"/>
                <w:highlight w:val="none"/>
              </w:rPr>
              <w:t>电池电压: 96Vdc/72Vdc</w:t>
            </w:r>
            <w:r>
              <w:rPr>
                <w:rFonts w:hint="eastAsia" w:ascii="宋体" w:hAnsi="宋体" w:cs="宋体"/>
                <w:sz w:val="18"/>
                <w:szCs w:val="18"/>
                <w:highlight w:val="none"/>
              </w:rPr>
              <w:br w:type="textWrapping"/>
            </w:r>
            <w:r>
              <w:rPr>
                <w:rFonts w:hint="eastAsia" w:ascii="宋体" w:hAnsi="宋体" w:cs="宋体"/>
                <w:sz w:val="18"/>
                <w:szCs w:val="18"/>
                <w:highlight w:val="none"/>
              </w:rPr>
              <w:t>工作温度:0℃～40℃</w:t>
            </w:r>
            <w:r>
              <w:rPr>
                <w:rFonts w:hint="eastAsia" w:ascii="宋体" w:hAnsi="宋体" w:cs="宋体"/>
                <w:sz w:val="18"/>
                <w:szCs w:val="18"/>
                <w:highlight w:val="none"/>
              </w:rPr>
              <w:br w:type="textWrapping"/>
            </w:r>
            <w:r>
              <w:rPr>
                <w:rFonts w:hint="eastAsia" w:ascii="宋体" w:hAnsi="宋体" w:cs="宋体"/>
                <w:sz w:val="18"/>
                <w:szCs w:val="18"/>
                <w:highlight w:val="none"/>
              </w:rPr>
              <w:t>存储温度:-25℃～55℃(不含电池)</w:t>
            </w:r>
            <w:r>
              <w:rPr>
                <w:rFonts w:hint="eastAsia" w:ascii="宋体" w:hAnsi="宋体" w:cs="宋体"/>
                <w:sz w:val="18"/>
                <w:szCs w:val="18"/>
                <w:highlight w:val="none"/>
              </w:rPr>
              <w:br w:type="textWrapping"/>
            </w:r>
            <w:r>
              <w:rPr>
                <w:rFonts w:hint="eastAsia" w:ascii="宋体" w:hAnsi="宋体" w:cs="宋体"/>
                <w:sz w:val="18"/>
                <w:szCs w:val="18"/>
                <w:highlight w:val="none"/>
              </w:rPr>
              <w:t>相对湿度:0%～95%(不凝露)</w:t>
            </w:r>
            <w:r>
              <w:rPr>
                <w:rFonts w:hint="eastAsia" w:ascii="宋体" w:hAnsi="宋体" w:cs="宋体"/>
                <w:sz w:val="18"/>
                <w:szCs w:val="18"/>
                <w:highlight w:val="none"/>
              </w:rPr>
              <w:br w:type="textWrapping"/>
            </w:r>
            <w:r>
              <w:rPr>
                <w:rFonts w:hint="eastAsia" w:ascii="宋体" w:hAnsi="宋体" w:cs="宋体"/>
                <w:sz w:val="18"/>
                <w:szCs w:val="18"/>
                <w:highlight w:val="none"/>
              </w:rPr>
              <w:t>尺寸(W*D*H):191mm *468mm *340mm</w:t>
            </w:r>
            <w:r>
              <w:rPr>
                <w:rFonts w:hint="eastAsia" w:ascii="宋体" w:hAnsi="宋体" w:cs="宋体"/>
                <w:sz w:val="18"/>
                <w:szCs w:val="18"/>
                <w:highlight w:val="none"/>
              </w:rPr>
              <w:br w:type="textWrapping"/>
            </w:r>
            <w:r>
              <w:rPr>
                <w:rFonts w:hint="eastAsia" w:ascii="宋体" w:hAnsi="宋体" w:cs="宋体"/>
                <w:sz w:val="18"/>
                <w:szCs w:val="18"/>
                <w:highlight w:val="none"/>
              </w:rPr>
              <w:t>净重:24kg</w:t>
            </w:r>
            <w:r>
              <w:rPr>
                <w:rFonts w:hint="eastAsia" w:ascii="宋体" w:hAnsi="宋体" w:cs="宋体"/>
                <w:sz w:val="18"/>
                <w:szCs w:val="18"/>
                <w:highlight w:val="none"/>
              </w:rPr>
              <w:br w:type="textWrapping"/>
            </w:r>
            <w:r>
              <w:rPr>
                <w:rFonts w:hint="eastAsia" w:ascii="宋体" w:hAnsi="宋体" w:cs="宋体"/>
                <w:sz w:val="18"/>
                <w:szCs w:val="18"/>
                <w:highlight w:val="none"/>
              </w:rPr>
              <w:t>质保3年</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192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9</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UPS电池一体化机柜及相关部件</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额定电压(V)：12v</w:t>
            </w:r>
            <w:r>
              <w:rPr>
                <w:rFonts w:hint="eastAsia" w:ascii="宋体" w:hAnsi="宋体" w:cs="宋体"/>
                <w:sz w:val="18"/>
                <w:szCs w:val="18"/>
                <w:highlight w:val="none"/>
              </w:rPr>
              <w:br w:type="textWrapping"/>
            </w:r>
            <w:r>
              <w:rPr>
                <w:rFonts w:hint="eastAsia" w:ascii="宋体" w:hAnsi="宋体" w:cs="宋体"/>
                <w:sz w:val="18"/>
                <w:szCs w:val="18"/>
                <w:highlight w:val="none"/>
              </w:rPr>
              <w:t>额定容量（Ah）:65</w:t>
            </w:r>
            <w:r>
              <w:rPr>
                <w:rFonts w:hint="eastAsia" w:ascii="宋体" w:hAnsi="宋体" w:cs="宋体"/>
                <w:sz w:val="18"/>
                <w:szCs w:val="18"/>
                <w:highlight w:val="none"/>
              </w:rPr>
              <w:br w:type="textWrapping"/>
            </w:r>
            <w:r>
              <w:rPr>
                <w:rFonts w:hint="eastAsia" w:ascii="宋体" w:hAnsi="宋体" w:cs="宋体"/>
                <w:sz w:val="18"/>
                <w:szCs w:val="18"/>
                <w:highlight w:val="none"/>
              </w:rPr>
              <w:t>浮充寿命（年）:8-10</w:t>
            </w:r>
            <w:r>
              <w:rPr>
                <w:rFonts w:hint="eastAsia" w:ascii="宋体" w:hAnsi="宋体" w:cs="宋体"/>
                <w:sz w:val="18"/>
                <w:szCs w:val="18"/>
                <w:highlight w:val="none"/>
              </w:rPr>
              <w:br w:type="textWrapping"/>
            </w:r>
            <w:r>
              <w:rPr>
                <w:rFonts w:hint="eastAsia" w:ascii="宋体" w:hAnsi="宋体" w:cs="宋体"/>
                <w:sz w:val="18"/>
                <w:szCs w:val="18"/>
                <w:highlight w:val="none"/>
              </w:rPr>
              <w:t>尺寸（长(L)*宽(W)*高(H)）：350mm*167mm*177mm</w:t>
            </w:r>
            <w:r>
              <w:rPr>
                <w:rFonts w:hint="eastAsia" w:ascii="宋体" w:hAnsi="宋体" w:cs="宋体"/>
                <w:sz w:val="18"/>
                <w:szCs w:val="18"/>
                <w:highlight w:val="none"/>
              </w:rPr>
              <w:br w:type="textWrapping"/>
            </w:r>
            <w:r>
              <w:rPr>
                <w:rFonts w:hint="eastAsia" w:ascii="宋体" w:hAnsi="宋体" w:cs="宋体"/>
                <w:sz w:val="18"/>
                <w:szCs w:val="18"/>
                <w:highlight w:val="none"/>
              </w:rPr>
              <w:t>总高：177mm</w:t>
            </w:r>
            <w:r>
              <w:rPr>
                <w:rFonts w:hint="eastAsia" w:ascii="宋体" w:hAnsi="宋体" w:cs="宋体"/>
                <w:sz w:val="18"/>
                <w:szCs w:val="18"/>
                <w:highlight w:val="none"/>
              </w:rPr>
              <w:br w:type="textWrapping"/>
            </w:r>
            <w:r>
              <w:rPr>
                <w:rFonts w:hint="eastAsia" w:ascii="宋体" w:hAnsi="宋体" w:cs="宋体"/>
                <w:sz w:val="18"/>
                <w:szCs w:val="18"/>
                <w:highlight w:val="none"/>
              </w:rPr>
              <w:t>重量（kg）：20kg</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2554"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UPS电池箱一体化机柜及相关部件</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电池箱层数：2层</w:t>
            </w:r>
            <w:r>
              <w:rPr>
                <w:rFonts w:hint="eastAsia" w:ascii="宋体" w:hAnsi="宋体" w:cs="宋体"/>
                <w:sz w:val="18"/>
                <w:szCs w:val="18"/>
                <w:highlight w:val="none"/>
              </w:rPr>
              <w:br w:type="textWrapping"/>
            </w:r>
            <w:r>
              <w:rPr>
                <w:rFonts w:hint="eastAsia" w:ascii="宋体" w:hAnsi="宋体" w:cs="宋体"/>
                <w:sz w:val="18"/>
                <w:szCs w:val="18"/>
                <w:highlight w:val="none"/>
              </w:rPr>
              <w:t>尺寸（长*宽*高，单位mm）：780*470*618</w:t>
            </w:r>
            <w:r>
              <w:rPr>
                <w:rFonts w:hint="eastAsia" w:ascii="宋体" w:hAnsi="宋体" w:cs="宋体"/>
                <w:sz w:val="18"/>
                <w:szCs w:val="18"/>
                <w:highlight w:val="none"/>
              </w:rPr>
              <w:br w:type="textWrapping"/>
            </w:r>
            <w:r>
              <w:rPr>
                <w:rFonts w:hint="eastAsia" w:ascii="宋体" w:hAnsi="宋体" w:cs="宋体"/>
                <w:sz w:val="18"/>
                <w:szCs w:val="18"/>
                <w:highlight w:val="none"/>
              </w:rPr>
              <w:t>重量：21kg</w:t>
            </w:r>
            <w:r>
              <w:rPr>
                <w:rFonts w:hint="eastAsia" w:ascii="宋体" w:hAnsi="宋体" w:cs="宋体"/>
                <w:sz w:val="18"/>
                <w:szCs w:val="18"/>
                <w:highlight w:val="none"/>
              </w:rPr>
              <w:br w:type="textWrapping"/>
            </w:r>
            <w:r>
              <w:rPr>
                <w:rFonts w:hint="eastAsia" w:ascii="宋体" w:hAnsi="宋体" w:cs="宋体"/>
                <w:sz w:val="18"/>
                <w:szCs w:val="18"/>
                <w:highlight w:val="none"/>
              </w:rPr>
              <w:t>采用加厚冷轧板，结构紧凑合理，承载能力大，整体静电喷塑，环保，耐磨，防腐蚀，防火，绝缘，型号齐全，能满足各中小型号UPS的电池组安装需求，通用性强，能满足各种型号的断路器安装需求，安装维护方便，整个安装过程不需采用螺丝固定。</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2238"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监视器LCD显示单元</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22寸液晶监视器，塑胶外观，</w:t>
            </w:r>
            <w:r>
              <w:rPr>
                <w:rFonts w:hint="eastAsia" w:ascii="宋体" w:hAnsi="宋体" w:cs="宋体"/>
                <w:sz w:val="18"/>
                <w:szCs w:val="18"/>
                <w:highlight w:val="none"/>
              </w:rPr>
              <w:br w:type="textWrapping"/>
            </w:r>
            <w:r>
              <w:rPr>
                <w:rFonts w:hint="eastAsia" w:ascii="宋体" w:hAnsi="宋体" w:cs="宋体"/>
                <w:sz w:val="18"/>
                <w:szCs w:val="18"/>
                <w:highlight w:val="none"/>
              </w:rPr>
              <w:t>显示：LED背光；物理分辨率1920×1080P；</w:t>
            </w:r>
            <w:r>
              <w:rPr>
                <w:rFonts w:hint="eastAsia" w:ascii="宋体" w:hAnsi="宋体" w:cs="宋体"/>
                <w:sz w:val="18"/>
                <w:szCs w:val="18"/>
                <w:highlight w:val="none"/>
              </w:rPr>
              <w:br w:type="textWrapping"/>
            </w:r>
            <w:r>
              <w:rPr>
                <w:rFonts w:hint="eastAsia" w:ascii="宋体" w:hAnsi="宋体" w:cs="宋体"/>
                <w:sz w:val="18"/>
                <w:szCs w:val="18"/>
                <w:highlight w:val="none"/>
              </w:rPr>
              <w:t>亮度250cd/㎡；对比度1000:1，功耗：≤35W，</w:t>
            </w:r>
            <w:r>
              <w:rPr>
                <w:rFonts w:hint="eastAsia" w:ascii="宋体" w:hAnsi="宋体" w:cs="宋体"/>
                <w:sz w:val="18"/>
                <w:szCs w:val="18"/>
                <w:highlight w:val="none"/>
              </w:rPr>
              <w:br w:type="textWrapping"/>
            </w:r>
            <w:r>
              <w:rPr>
                <w:rFonts w:hint="eastAsia" w:ascii="宋体" w:hAnsi="宋体" w:cs="宋体"/>
                <w:sz w:val="18"/>
                <w:szCs w:val="18"/>
                <w:highlight w:val="none"/>
              </w:rPr>
              <w:t>接口：VGA输入*1，HDMI输入*1，3.5mm音频输入*1，BNC输入*1，USB输入*1；</w:t>
            </w:r>
            <w:r>
              <w:rPr>
                <w:rFonts w:hint="eastAsia" w:ascii="宋体" w:hAnsi="宋体" w:cs="宋体"/>
                <w:sz w:val="18"/>
                <w:szCs w:val="18"/>
                <w:highlight w:val="none"/>
              </w:rPr>
              <w:br w:type="textWrapping"/>
            </w:r>
            <w:r>
              <w:rPr>
                <w:rFonts w:hint="eastAsia" w:ascii="宋体" w:hAnsi="宋体" w:cs="宋体"/>
                <w:sz w:val="18"/>
                <w:szCs w:val="18"/>
                <w:highlight w:val="none"/>
              </w:rPr>
              <w:t>配件：遥控器*1、电源线*1、说明书*1、保修卡*1、</w:t>
            </w:r>
            <w:r>
              <w:rPr>
                <w:rFonts w:hint="eastAsia" w:ascii="宋体" w:hAnsi="宋体" w:cs="宋体"/>
                <w:sz w:val="18"/>
                <w:szCs w:val="18"/>
                <w:highlight w:val="none"/>
              </w:rPr>
              <w:br w:type="textWrapping"/>
            </w:r>
            <w:r>
              <w:rPr>
                <w:rFonts w:hint="eastAsia" w:ascii="宋体" w:hAnsi="宋体" w:cs="宋体"/>
                <w:sz w:val="18"/>
                <w:szCs w:val="18"/>
                <w:highlight w:val="none"/>
              </w:rPr>
              <w:t>*出货自带底座、图纸请咨询区域负责人</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6347"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双路服务器</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br w:type="textWrapping"/>
            </w:r>
            <w:r>
              <w:rPr>
                <w:rFonts w:hint="eastAsia" w:ascii="宋体" w:hAnsi="宋体" w:cs="宋体"/>
                <w:sz w:val="18"/>
                <w:szCs w:val="18"/>
                <w:highlight w:val="none"/>
              </w:rPr>
              <w:t>2U单路标准机架式服务器</w:t>
            </w:r>
            <w:r>
              <w:rPr>
                <w:rFonts w:hint="eastAsia" w:ascii="宋体" w:hAnsi="宋体" w:cs="宋体"/>
                <w:sz w:val="18"/>
                <w:szCs w:val="18"/>
                <w:highlight w:val="none"/>
              </w:rPr>
              <w:br w:type="textWrapping"/>
            </w:r>
            <w:r>
              <w:rPr>
                <w:rFonts w:hint="eastAsia" w:ascii="宋体" w:hAnsi="宋体" w:cs="宋体"/>
                <w:sz w:val="18"/>
                <w:szCs w:val="18"/>
                <w:highlight w:val="none"/>
              </w:rPr>
              <w:t>CPU：1颗 HG7163(16核，2.4GHz)</w:t>
            </w:r>
            <w:r>
              <w:rPr>
                <w:rFonts w:hint="eastAsia" w:ascii="宋体" w:hAnsi="宋体" w:cs="宋体"/>
                <w:sz w:val="18"/>
                <w:szCs w:val="18"/>
                <w:highlight w:val="none"/>
              </w:rPr>
              <w:br w:type="textWrapping"/>
            </w:r>
            <w:r>
              <w:rPr>
                <w:rFonts w:hint="eastAsia" w:ascii="宋体" w:hAnsi="宋体" w:cs="宋体"/>
                <w:sz w:val="18"/>
                <w:szCs w:val="18"/>
                <w:highlight w:val="none"/>
              </w:rPr>
              <w:t>内存2*16G DDR4，16根内存插槽，最大支持扩展至2TB内存</w:t>
            </w:r>
            <w:r>
              <w:rPr>
                <w:rFonts w:hint="eastAsia" w:ascii="宋体" w:hAnsi="宋体" w:cs="宋体"/>
                <w:sz w:val="18"/>
                <w:szCs w:val="18"/>
                <w:highlight w:val="none"/>
              </w:rPr>
              <w:br w:type="textWrapping"/>
            </w:r>
            <w:r>
              <w:rPr>
                <w:rFonts w:hint="eastAsia" w:ascii="宋体" w:hAnsi="宋体" w:cs="宋体"/>
                <w:sz w:val="18"/>
                <w:szCs w:val="18"/>
                <w:highlight w:val="none"/>
              </w:rPr>
              <w:t>硬盘：2块600G 10K 2.5英寸SAS盘</w:t>
            </w:r>
            <w:r>
              <w:rPr>
                <w:rFonts w:hint="eastAsia" w:ascii="宋体" w:hAnsi="宋体" w:cs="宋体"/>
                <w:sz w:val="18"/>
                <w:szCs w:val="18"/>
                <w:highlight w:val="none"/>
              </w:rPr>
              <w:br w:type="textWrapping"/>
            </w:r>
            <w:r>
              <w:rPr>
                <w:rFonts w:hint="eastAsia" w:ascii="宋体" w:hAnsi="宋体" w:cs="宋体"/>
                <w:sz w:val="18"/>
                <w:szCs w:val="18"/>
                <w:highlight w:val="none"/>
              </w:rPr>
              <w:t>可选支持12块前置3.5寸(兼容2.5寸)热插拔SAS/SATA硬盘</w:t>
            </w:r>
            <w:r>
              <w:rPr>
                <w:rFonts w:hint="eastAsia" w:ascii="宋体" w:hAnsi="宋体" w:cs="宋体"/>
                <w:sz w:val="18"/>
                <w:szCs w:val="18"/>
                <w:highlight w:val="none"/>
              </w:rPr>
              <w:br w:type="textWrapping"/>
            </w:r>
            <w:r>
              <w:rPr>
                <w:rFonts w:hint="eastAsia" w:ascii="宋体" w:hAnsi="宋体" w:cs="宋体"/>
                <w:sz w:val="18"/>
                <w:szCs w:val="18"/>
                <w:highlight w:val="none"/>
              </w:rPr>
              <w:t>可选支持2块后置2.5寸热插拔SAS/SATA硬盘</w:t>
            </w:r>
            <w:r>
              <w:rPr>
                <w:rFonts w:hint="eastAsia" w:ascii="宋体" w:hAnsi="宋体" w:cs="宋体"/>
                <w:sz w:val="18"/>
                <w:szCs w:val="18"/>
                <w:highlight w:val="none"/>
              </w:rPr>
              <w:br w:type="textWrapping"/>
            </w:r>
            <w:r>
              <w:rPr>
                <w:rFonts w:hint="eastAsia" w:ascii="宋体" w:hAnsi="宋体" w:cs="宋体"/>
                <w:sz w:val="18"/>
                <w:szCs w:val="18"/>
                <w:highlight w:val="none"/>
              </w:rPr>
              <w:t>可选支持4块NVME U.2热插拔硬盘</w:t>
            </w:r>
            <w:r>
              <w:rPr>
                <w:rFonts w:hint="eastAsia" w:ascii="宋体" w:hAnsi="宋体" w:cs="宋体"/>
                <w:sz w:val="18"/>
                <w:szCs w:val="18"/>
                <w:highlight w:val="none"/>
              </w:rPr>
              <w:br w:type="textWrapping"/>
            </w:r>
            <w:r>
              <w:rPr>
                <w:rFonts w:hint="eastAsia" w:ascii="宋体" w:hAnsi="宋体" w:cs="宋体"/>
                <w:sz w:val="18"/>
                <w:szCs w:val="18"/>
                <w:highlight w:val="none"/>
              </w:rPr>
              <w:t>支持1个M.2插槽</w:t>
            </w:r>
            <w:r>
              <w:rPr>
                <w:rFonts w:hint="eastAsia" w:ascii="宋体" w:hAnsi="宋体" w:cs="宋体"/>
                <w:sz w:val="18"/>
                <w:szCs w:val="18"/>
                <w:highlight w:val="none"/>
              </w:rPr>
              <w:br w:type="textWrapping"/>
            </w:r>
            <w:r>
              <w:rPr>
                <w:rFonts w:hint="eastAsia" w:ascii="宋体" w:hAnsi="宋体" w:cs="宋体"/>
                <w:sz w:val="18"/>
                <w:szCs w:val="18"/>
                <w:highlight w:val="none"/>
              </w:rPr>
              <w:t>支持1个TF插槽</w:t>
            </w:r>
            <w:r>
              <w:rPr>
                <w:rFonts w:hint="eastAsia" w:ascii="宋体" w:hAnsi="宋体" w:cs="宋体"/>
                <w:sz w:val="18"/>
                <w:szCs w:val="18"/>
                <w:highlight w:val="none"/>
              </w:rPr>
              <w:br w:type="textWrapping"/>
            </w:r>
            <w:r>
              <w:rPr>
                <w:rFonts w:hint="eastAsia" w:ascii="宋体" w:hAnsi="宋体" w:cs="宋体"/>
                <w:sz w:val="18"/>
                <w:szCs w:val="18"/>
                <w:highlight w:val="none"/>
              </w:rPr>
              <w:t>阵列卡：标配SAS_HBA卡，支持RAID0/1/10</w:t>
            </w:r>
            <w:r>
              <w:rPr>
                <w:rFonts w:hint="eastAsia" w:ascii="宋体" w:hAnsi="宋体" w:cs="宋体"/>
                <w:sz w:val="18"/>
                <w:szCs w:val="18"/>
                <w:highlight w:val="none"/>
              </w:rPr>
              <w:br w:type="textWrapping"/>
            </w:r>
            <w:r>
              <w:rPr>
                <w:rFonts w:hint="eastAsia" w:ascii="宋体" w:hAnsi="宋体" w:cs="宋体"/>
                <w:sz w:val="18"/>
                <w:szCs w:val="18"/>
                <w:highlight w:val="none"/>
              </w:rPr>
              <w:t>可选RAID_2G卡，支持0/1/5/6/10/50/60，可选支持断电保护</w:t>
            </w:r>
            <w:r>
              <w:rPr>
                <w:rFonts w:hint="eastAsia" w:ascii="宋体" w:hAnsi="宋体" w:cs="宋体"/>
                <w:sz w:val="18"/>
                <w:szCs w:val="18"/>
                <w:highlight w:val="none"/>
              </w:rPr>
              <w:br w:type="textWrapping"/>
            </w:r>
            <w:r>
              <w:rPr>
                <w:rFonts w:hint="eastAsia" w:ascii="宋体" w:hAnsi="宋体" w:cs="宋体"/>
                <w:sz w:val="18"/>
                <w:szCs w:val="18"/>
                <w:highlight w:val="none"/>
              </w:rPr>
              <w:t>PCIE扩展：最大可支持6个PCIe扩展插槽</w:t>
            </w:r>
            <w:r>
              <w:rPr>
                <w:rFonts w:hint="eastAsia" w:ascii="宋体" w:hAnsi="宋体" w:cs="宋体"/>
                <w:sz w:val="18"/>
                <w:szCs w:val="18"/>
                <w:highlight w:val="none"/>
              </w:rPr>
              <w:br w:type="textWrapping"/>
            </w:r>
            <w:r>
              <w:rPr>
                <w:rFonts w:hint="eastAsia" w:ascii="宋体" w:hAnsi="宋体" w:cs="宋体"/>
                <w:sz w:val="18"/>
                <w:szCs w:val="18"/>
                <w:highlight w:val="none"/>
              </w:rPr>
              <w:t>网口：2个千兆电口</w:t>
            </w:r>
            <w:r>
              <w:rPr>
                <w:rFonts w:hint="eastAsia" w:ascii="宋体" w:hAnsi="宋体" w:cs="宋体"/>
                <w:sz w:val="18"/>
                <w:szCs w:val="18"/>
                <w:highlight w:val="none"/>
              </w:rPr>
              <w:br w:type="textWrapping"/>
            </w:r>
            <w:r>
              <w:rPr>
                <w:rFonts w:hint="eastAsia" w:ascii="宋体" w:hAnsi="宋体" w:cs="宋体"/>
                <w:sz w:val="18"/>
                <w:szCs w:val="18"/>
                <w:highlight w:val="none"/>
              </w:rPr>
              <w:t>其他接口：1个千兆RJ-45管理接口，4个USB 3.0接口，2个位于机箱后部，2个位于机箱前部</w:t>
            </w:r>
            <w:r>
              <w:rPr>
                <w:rFonts w:hint="eastAsia" w:ascii="宋体" w:hAnsi="宋体" w:cs="宋体"/>
                <w:sz w:val="18"/>
                <w:szCs w:val="18"/>
                <w:highlight w:val="none"/>
              </w:rPr>
              <w:br w:type="textWrapping"/>
            </w:r>
            <w:r>
              <w:rPr>
                <w:rFonts w:hint="eastAsia" w:ascii="宋体" w:hAnsi="宋体" w:cs="宋体"/>
                <w:sz w:val="18"/>
                <w:szCs w:val="18"/>
                <w:highlight w:val="none"/>
              </w:rPr>
              <w:t>1个VGA口，位于机箱后部</w:t>
            </w:r>
            <w:r>
              <w:rPr>
                <w:rFonts w:hint="eastAsia" w:ascii="宋体" w:hAnsi="宋体" w:cs="宋体"/>
                <w:sz w:val="18"/>
                <w:szCs w:val="18"/>
                <w:highlight w:val="none"/>
              </w:rPr>
              <w:br w:type="textWrapping"/>
            </w:r>
            <w:r>
              <w:rPr>
                <w:rFonts w:hint="eastAsia" w:ascii="宋体" w:hAnsi="宋体" w:cs="宋体"/>
                <w:sz w:val="18"/>
                <w:szCs w:val="18"/>
                <w:highlight w:val="none"/>
              </w:rPr>
              <w:t xml:space="preserve">电源：标配550W（1+1）白金冗余电源 </w:t>
            </w:r>
            <w:r>
              <w:rPr>
                <w:rFonts w:hint="eastAsia" w:ascii="宋体" w:hAnsi="宋体" w:cs="宋体"/>
                <w:sz w:val="18"/>
                <w:szCs w:val="18"/>
                <w:highlight w:val="none"/>
              </w:rPr>
              <w:br w:type="textWrapping"/>
            </w:r>
            <w:r>
              <w:rPr>
                <w:rFonts w:hint="eastAsia" w:ascii="宋体" w:hAnsi="宋体" w:cs="宋体"/>
                <w:sz w:val="18"/>
                <w:szCs w:val="18"/>
                <w:highlight w:val="none"/>
              </w:rPr>
              <w:t>支持200-240V 50/60Hz AC/HVDC</w:t>
            </w:r>
            <w:r>
              <w:rPr>
                <w:rFonts w:hint="eastAsia" w:ascii="宋体" w:hAnsi="宋体" w:cs="宋体"/>
                <w:sz w:val="18"/>
                <w:szCs w:val="18"/>
                <w:highlight w:val="none"/>
              </w:rPr>
              <w:br w:type="textWrapping"/>
            </w:r>
            <w:r>
              <w:rPr>
                <w:rFonts w:hint="eastAsia" w:ascii="宋体" w:hAnsi="宋体" w:cs="宋体"/>
                <w:sz w:val="18"/>
                <w:szCs w:val="18"/>
                <w:highlight w:val="none"/>
              </w:rPr>
              <w:t>机箱规格：87.8mm(高)x 448mm(宽)x730mm(深)</w:t>
            </w:r>
            <w:r>
              <w:rPr>
                <w:rFonts w:hint="eastAsia" w:ascii="宋体" w:hAnsi="宋体" w:cs="宋体"/>
                <w:sz w:val="18"/>
                <w:szCs w:val="18"/>
                <w:highlight w:val="none"/>
              </w:rPr>
              <w:br w:type="textWrapping"/>
            </w:r>
            <w:r>
              <w:rPr>
                <w:rFonts w:hint="eastAsia" w:ascii="宋体" w:hAnsi="宋体" w:cs="宋体"/>
                <w:sz w:val="18"/>
                <w:szCs w:val="18"/>
                <w:highlight w:val="none"/>
              </w:rPr>
              <w:t>设备重量：约25KG（不含导轨）</w:t>
            </w:r>
            <w:r>
              <w:rPr>
                <w:rFonts w:hint="eastAsia" w:ascii="宋体" w:hAnsi="宋体" w:cs="宋体"/>
                <w:sz w:val="18"/>
                <w:szCs w:val="18"/>
                <w:highlight w:val="none"/>
              </w:rPr>
              <w:br w:type="textWrapping"/>
            </w:r>
            <w:r>
              <w:rPr>
                <w:rFonts w:hint="eastAsia" w:ascii="宋体" w:hAnsi="宋体" w:cs="宋体"/>
                <w:sz w:val="18"/>
                <w:szCs w:val="18"/>
                <w:highlight w:val="none"/>
              </w:rPr>
              <w:t>操作系统：HIK OS</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4601"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硬盘录像机</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硬件规格：</w:t>
            </w:r>
            <w:r>
              <w:rPr>
                <w:rFonts w:hint="eastAsia" w:ascii="宋体" w:hAnsi="宋体" w:cs="宋体"/>
                <w:sz w:val="18"/>
                <w:szCs w:val="18"/>
                <w:highlight w:val="none"/>
              </w:rPr>
              <w:br w:type="textWrapping"/>
            </w:r>
            <w:r>
              <w:rPr>
                <w:rFonts w:hint="eastAsia" w:ascii="宋体" w:hAnsi="宋体" w:cs="宋体"/>
                <w:sz w:val="18"/>
                <w:szCs w:val="18"/>
                <w:highlight w:val="none"/>
              </w:rPr>
              <w:t>2U标准机架式</w:t>
            </w:r>
            <w:r>
              <w:rPr>
                <w:rFonts w:hint="eastAsia" w:ascii="宋体" w:hAnsi="宋体" w:cs="宋体"/>
                <w:sz w:val="18"/>
                <w:szCs w:val="18"/>
                <w:highlight w:val="none"/>
              </w:rPr>
              <w:br w:type="textWrapping"/>
            </w:r>
            <w:r>
              <w:rPr>
                <w:rFonts w:hint="eastAsia" w:ascii="宋体" w:hAnsi="宋体" w:cs="宋体"/>
                <w:sz w:val="18"/>
                <w:szCs w:val="18"/>
                <w:highlight w:val="none"/>
              </w:rPr>
              <w:t>2个HDMI，2个VGA,HDMI+VGA组内同源</w:t>
            </w:r>
            <w:r>
              <w:rPr>
                <w:rFonts w:hint="eastAsia" w:ascii="宋体" w:hAnsi="宋体" w:cs="宋体"/>
                <w:sz w:val="18"/>
                <w:szCs w:val="18"/>
                <w:highlight w:val="none"/>
              </w:rPr>
              <w:br w:type="textWrapping"/>
            </w:r>
            <w:r>
              <w:rPr>
                <w:rFonts w:hint="eastAsia" w:ascii="宋体" w:hAnsi="宋体" w:cs="宋体"/>
                <w:sz w:val="18"/>
                <w:szCs w:val="18"/>
                <w:highlight w:val="none"/>
              </w:rPr>
              <w:t xml:space="preserve">8盘位，可满配6TB硬盘 </w:t>
            </w:r>
            <w:r>
              <w:rPr>
                <w:rFonts w:hint="eastAsia" w:ascii="宋体" w:hAnsi="宋体" w:cs="宋体"/>
                <w:sz w:val="18"/>
                <w:szCs w:val="18"/>
                <w:highlight w:val="none"/>
              </w:rPr>
              <w:br w:type="textWrapping"/>
            </w:r>
            <w:r>
              <w:rPr>
                <w:rFonts w:hint="eastAsia" w:ascii="宋体" w:hAnsi="宋体" w:cs="宋体"/>
                <w:sz w:val="18"/>
                <w:szCs w:val="18"/>
                <w:highlight w:val="none"/>
              </w:rPr>
              <w:t>2个千兆网口</w:t>
            </w:r>
            <w:r>
              <w:rPr>
                <w:rFonts w:hint="eastAsia" w:ascii="宋体" w:hAnsi="宋体" w:cs="宋体"/>
                <w:sz w:val="18"/>
                <w:szCs w:val="18"/>
                <w:highlight w:val="none"/>
              </w:rPr>
              <w:br w:type="textWrapping"/>
            </w:r>
            <w:r>
              <w:rPr>
                <w:rFonts w:hint="eastAsia" w:ascii="宋体" w:hAnsi="宋体" w:cs="宋体"/>
                <w:sz w:val="18"/>
                <w:szCs w:val="18"/>
                <w:highlight w:val="none"/>
              </w:rPr>
              <w:t>2个USB2.0接口、1个USB3.0接口</w:t>
            </w:r>
            <w:r>
              <w:rPr>
                <w:rFonts w:hint="eastAsia" w:ascii="宋体" w:hAnsi="宋体" w:cs="宋体"/>
                <w:sz w:val="18"/>
                <w:szCs w:val="18"/>
                <w:highlight w:val="none"/>
              </w:rPr>
              <w:br w:type="textWrapping"/>
            </w:r>
            <w:r>
              <w:rPr>
                <w:rFonts w:hint="eastAsia" w:ascii="宋体" w:hAnsi="宋体" w:cs="宋体"/>
                <w:sz w:val="18"/>
                <w:szCs w:val="18"/>
                <w:highlight w:val="none"/>
              </w:rPr>
              <w:t>1个eSATA接口</w:t>
            </w:r>
            <w:r>
              <w:rPr>
                <w:rFonts w:hint="eastAsia" w:ascii="宋体" w:hAnsi="宋体" w:cs="宋体"/>
                <w:sz w:val="18"/>
                <w:szCs w:val="18"/>
                <w:highlight w:val="none"/>
              </w:rPr>
              <w:br w:type="textWrapping"/>
            </w:r>
            <w:r>
              <w:rPr>
                <w:rFonts w:hint="eastAsia" w:ascii="宋体" w:hAnsi="宋体" w:cs="宋体"/>
                <w:sz w:val="18"/>
                <w:szCs w:val="18"/>
                <w:highlight w:val="none"/>
              </w:rPr>
              <w:t>报警IO：16进4路（可选配8出）</w:t>
            </w:r>
            <w:r>
              <w:rPr>
                <w:rFonts w:hint="eastAsia" w:ascii="宋体" w:hAnsi="宋体" w:cs="宋体"/>
                <w:sz w:val="18"/>
                <w:szCs w:val="18"/>
                <w:highlight w:val="none"/>
              </w:rPr>
              <w:br w:type="textWrapping"/>
            </w:r>
            <w:r>
              <w:rPr>
                <w:rFonts w:hint="eastAsia" w:ascii="宋体" w:hAnsi="宋体" w:cs="宋体"/>
                <w:sz w:val="18"/>
                <w:szCs w:val="18"/>
                <w:highlight w:val="none"/>
              </w:rPr>
              <w:br w:type="textWrapping"/>
            </w:r>
            <w:r>
              <w:rPr>
                <w:rFonts w:hint="eastAsia" w:ascii="宋体" w:hAnsi="宋体" w:cs="宋体"/>
                <w:sz w:val="18"/>
                <w:szCs w:val="18"/>
                <w:highlight w:val="none"/>
              </w:rPr>
              <w:t>软件性能：</w:t>
            </w:r>
            <w:r>
              <w:rPr>
                <w:rFonts w:hint="eastAsia" w:ascii="宋体" w:hAnsi="宋体" w:cs="宋体"/>
                <w:sz w:val="18"/>
                <w:szCs w:val="18"/>
                <w:highlight w:val="none"/>
              </w:rPr>
              <w:br w:type="textWrapping"/>
            </w:r>
            <w:r>
              <w:rPr>
                <w:rFonts w:hint="eastAsia" w:ascii="宋体" w:hAnsi="宋体" w:cs="宋体"/>
                <w:sz w:val="18"/>
                <w:szCs w:val="18"/>
                <w:highlight w:val="none"/>
              </w:rPr>
              <w:t>输入带宽：256M</w:t>
            </w:r>
            <w:r>
              <w:rPr>
                <w:rFonts w:hint="eastAsia" w:ascii="宋体" w:hAnsi="宋体" w:cs="宋体"/>
                <w:sz w:val="18"/>
                <w:szCs w:val="18"/>
                <w:highlight w:val="none"/>
              </w:rPr>
              <w:br w:type="textWrapping"/>
            </w:r>
            <w:r>
              <w:rPr>
                <w:rFonts w:hint="eastAsia" w:ascii="宋体" w:hAnsi="宋体" w:cs="宋体"/>
                <w:sz w:val="18"/>
                <w:szCs w:val="18"/>
                <w:highlight w:val="none"/>
              </w:rPr>
              <w:t>32路H.264、H.265混合接入</w:t>
            </w:r>
            <w:r>
              <w:rPr>
                <w:rFonts w:hint="eastAsia" w:ascii="宋体" w:hAnsi="宋体" w:cs="宋体"/>
                <w:sz w:val="18"/>
                <w:szCs w:val="18"/>
                <w:highlight w:val="none"/>
              </w:rPr>
              <w:br w:type="textWrapping"/>
            </w:r>
            <w:r>
              <w:rPr>
                <w:rFonts w:hint="eastAsia" w:ascii="宋体" w:hAnsi="宋体" w:cs="宋体"/>
                <w:sz w:val="18"/>
                <w:szCs w:val="18"/>
                <w:highlight w:val="none"/>
              </w:rPr>
              <w:t>最大支持8×1080P解码</w:t>
            </w:r>
            <w:r>
              <w:rPr>
                <w:rFonts w:hint="eastAsia" w:ascii="宋体" w:hAnsi="宋体" w:cs="宋体"/>
                <w:sz w:val="18"/>
                <w:szCs w:val="18"/>
                <w:highlight w:val="none"/>
              </w:rPr>
              <w:br w:type="textWrapping"/>
            </w:r>
            <w:r>
              <w:rPr>
                <w:rFonts w:hint="eastAsia" w:ascii="宋体" w:hAnsi="宋体" w:cs="宋体"/>
                <w:sz w:val="18"/>
                <w:szCs w:val="18"/>
                <w:highlight w:val="none"/>
              </w:rPr>
              <w:t>支持H.265、H.264解码</w:t>
            </w:r>
            <w:r>
              <w:rPr>
                <w:rFonts w:hint="eastAsia" w:ascii="宋体" w:hAnsi="宋体" w:cs="宋体"/>
                <w:sz w:val="18"/>
                <w:szCs w:val="18"/>
                <w:highlight w:val="none"/>
              </w:rPr>
              <w:br w:type="textWrapping"/>
            </w:r>
            <w:r>
              <w:rPr>
                <w:rFonts w:hint="eastAsia" w:ascii="宋体" w:hAnsi="宋体" w:cs="宋体"/>
                <w:sz w:val="18"/>
                <w:szCs w:val="18"/>
                <w:highlight w:val="none"/>
              </w:rPr>
              <w:t>Smart 2.0/整机热备/ANR/智能检索/智能回放/车牌检索/人脸检索/热度图/客流量统计/分时段回放/超高倍速回放/双系统备份</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 可对视频画面叠加10行字符，每行可输入22个汉字</w:t>
            </w:r>
            <w:r>
              <w:rPr>
                <w:rFonts w:hint="eastAsia" w:ascii="宋体" w:hAnsi="宋体" w:cs="宋体"/>
                <w:sz w:val="18"/>
                <w:szCs w:val="18"/>
                <w:highlight w:val="none"/>
              </w:rPr>
              <w:br w:type="textWrapping"/>
            </w:r>
            <w:r>
              <w:rPr>
                <w:rFonts w:hint="eastAsia" w:ascii="宋体" w:hAnsi="宋体" w:cs="宋体"/>
                <w:sz w:val="18"/>
                <w:szCs w:val="18"/>
                <w:highlight w:val="none"/>
              </w:rPr>
              <w:t>2. 可接入双目摄像机进行预览和回放，可通过IE预览和回放双声道摄像机的立体声</w:t>
            </w:r>
          </w:p>
          <w:p>
            <w:pPr>
              <w:rPr>
                <w:rFonts w:ascii="宋体" w:hAnsi="宋体" w:cs="宋体"/>
                <w:sz w:val="18"/>
                <w:szCs w:val="18"/>
                <w:highlight w:val="none"/>
              </w:rPr>
            </w:pPr>
            <w:r>
              <w:rPr>
                <w:rFonts w:hint="eastAsia" w:ascii="宋体" w:hAnsi="宋体" w:cs="宋体"/>
                <w:sz w:val="18"/>
                <w:szCs w:val="18"/>
                <w:highlight w:val="none"/>
              </w:rPr>
              <w:t>3. 支持报警输入触发一键撤防功能，撤防的报警类型可选（弹出报警画面、声音警告、上传中心、发送邮件、触发报警输出）</w:t>
            </w:r>
          </w:p>
          <w:p>
            <w:pPr>
              <w:rPr>
                <w:rFonts w:ascii="宋体" w:hAnsi="宋体" w:cs="宋体"/>
                <w:sz w:val="18"/>
                <w:szCs w:val="18"/>
                <w:highlight w:val="none"/>
              </w:rPr>
            </w:pPr>
            <w:r>
              <w:rPr>
                <w:rFonts w:hint="eastAsia" w:ascii="宋体" w:hAnsi="宋体" w:cs="宋体"/>
                <w:sz w:val="18"/>
                <w:szCs w:val="18"/>
                <w:highlight w:val="none"/>
              </w:rPr>
              <w:t>4. 支持对任一录像进行添加自定义标签，单个文件最大支持196个标签，最大可以打4096个标签</w:t>
            </w:r>
            <w:r>
              <w:rPr>
                <w:rFonts w:hint="eastAsia" w:ascii="宋体" w:hAnsi="宋体" w:cs="宋体"/>
                <w:sz w:val="18"/>
                <w:szCs w:val="18"/>
                <w:highlight w:val="none"/>
              </w:rPr>
              <w:br w:type="textWrapping"/>
            </w:r>
            <w:r>
              <w:rPr>
                <w:rFonts w:hint="eastAsia" w:ascii="宋体" w:hAnsi="宋体" w:cs="宋体"/>
                <w:sz w:val="18"/>
                <w:szCs w:val="18"/>
                <w:highlight w:val="none"/>
              </w:rPr>
              <w:t>5. 支持设置图案密码，用户通过绘制图案来解锁并登录</w:t>
            </w:r>
            <w:r>
              <w:rPr>
                <w:rFonts w:hint="eastAsia" w:ascii="宋体" w:hAnsi="宋体" w:cs="宋体"/>
                <w:sz w:val="18"/>
                <w:szCs w:val="18"/>
                <w:highlight w:val="none"/>
              </w:rPr>
              <w:br w:type="textWrapping"/>
            </w:r>
            <w:r>
              <w:rPr>
                <w:rFonts w:hint="eastAsia" w:ascii="宋体" w:hAnsi="宋体" w:cs="宋体"/>
                <w:sz w:val="18"/>
                <w:szCs w:val="18"/>
                <w:highlight w:val="none"/>
              </w:rPr>
              <w:t>6. 支持视频摘要回放功能：将不同时间段的多个目标叠加在一个背景上同时回放</w:t>
            </w:r>
            <w:r>
              <w:rPr>
                <w:rFonts w:hint="eastAsia" w:ascii="宋体" w:hAnsi="宋体" w:cs="宋体"/>
                <w:sz w:val="18"/>
                <w:szCs w:val="18"/>
                <w:highlight w:val="none"/>
              </w:rPr>
              <w:br w:type="textWrapping"/>
            </w:r>
            <w:r>
              <w:rPr>
                <w:rFonts w:hint="eastAsia" w:ascii="宋体" w:hAnsi="宋体" w:cs="宋体"/>
                <w:sz w:val="18"/>
                <w:szCs w:val="18"/>
                <w:highlight w:val="none"/>
              </w:rPr>
              <w:t>7. 支持接入ONVIF协议、RTSP协议、GB/T28181协议的设备，可一键激活并添加局域网内IPC</w:t>
            </w:r>
            <w:r>
              <w:rPr>
                <w:rFonts w:hint="eastAsia" w:ascii="宋体" w:hAnsi="宋体" w:cs="宋体"/>
                <w:sz w:val="18"/>
                <w:szCs w:val="18"/>
                <w:highlight w:val="none"/>
              </w:rPr>
              <w:br w:type="textWrapping"/>
            </w:r>
            <w:r>
              <w:rPr>
                <w:rFonts w:hint="eastAsia" w:ascii="宋体" w:hAnsi="宋体" w:cs="宋体"/>
                <w:sz w:val="18"/>
                <w:szCs w:val="18"/>
                <w:highlight w:val="none"/>
              </w:rPr>
              <w:t>8. 支持2组4屏显示输出，每组包含HDMI和VGA各一个，同一组内为同源输出，两组之间可异源输出视频图像，并可分别控制进行预览、回放、配置等操作；支持36/32/25/16/9/8/6/4/1分屏预览</w:t>
            </w:r>
            <w:r>
              <w:rPr>
                <w:rFonts w:hint="eastAsia" w:ascii="宋体" w:hAnsi="宋体" w:cs="宋体"/>
                <w:sz w:val="18"/>
                <w:szCs w:val="18"/>
                <w:highlight w:val="none"/>
              </w:rPr>
              <w:br w:type="textWrapping"/>
            </w:r>
            <w:r>
              <w:rPr>
                <w:rFonts w:hint="eastAsia" w:ascii="宋体" w:hAnsi="宋体" w:cs="宋体"/>
                <w:sz w:val="18"/>
                <w:szCs w:val="18"/>
                <w:highlight w:val="none"/>
              </w:rPr>
              <w:t>9. 支持4000X3000格式的高清网络视频的解码显示</w:t>
            </w:r>
            <w:r>
              <w:rPr>
                <w:rFonts w:hint="eastAsia" w:ascii="宋体" w:hAnsi="宋体" w:cs="宋体"/>
                <w:sz w:val="18"/>
                <w:szCs w:val="18"/>
                <w:highlight w:val="none"/>
              </w:rPr>
              <w:br w:type="textWrapping"/>
            </w:r>
            <w:r>
              <w:rPr>
                <w:rFonts w:hint="eastAsia" w:ascii="宋体" w:hAnsi="宋体" w:cs="宋体"/>
                <w:sz w:val="18"/>
                <w:szCs w:val="18"/>
                <w:highlight w:val="none"/>
              </w:rPr>
              <w:t>10. 支持录像打包时间1-300分钟可设置</w:t>
            </w:r>
            <w:r>
              <w:rPr>
                <w:rFonts w:hint="eastAsia" w:ascii="宋体" w:hAnsi="宋体" w:cs="宋体"/>
                <w:sz w:val="18"/>
                <w:szCs w:val="18"/>
                <w:highlight w:val="none"/>
              </w:rPr>
              <w:br w:type="textWrapping"/>
            </w:r>
            <w:r>
              <w:rPr>
                <w:rFonts w:hint="eastAsia" w:ascii="宋体" w:hAnsi="宋体" w:cs="宋体"/>
                <w:sz w:val="18"/>
                <w:szCs w:val="18"/>
                <w:highlight w:val="none"/>
              </w:rPr>
              <w:t>11. 支持双码流同时录像</w:t>
            </w:r>
            <w:r>
              <w:rPr>
                <w:rFonts w:hint="eastAsia" w:ascii="宋体" w:hAnsi="宋体" w:cs="宋体"/>
                <w:sz w:val="18"/>
                <w:szCs w:val="18"/>
                <w:highlight w:val="none"/>
              </w:rPr>
              <w:br w:type="textWrapping"/>
            </w:r>
            <w:r>
              <w:rPr>
                <w:rFonts w:hint="eastAsia" w:ascii="宋体" w:hAnsi="宋体" w:cs="宋体"/>
                <w:sz w:val="18"/>
                <w:szCs w:val="18"/>
                <w:highlight w:val="none"/>
              </w:rPr>
              <w:t>12. 支持1/8、1/4、1/2、1、2、4、8、16、32、64、128、256等倍速回放录像，支持录像回放的剪辑和回放截图功能</w:t>
            </w:r>
            <w:r>
              <w:rPr>
                <w:rFonts w:hint="eastAsia" w:ascii="宋体" w:hAnsi="宋体" w:cs="宋体"/>
                <w:sz w:val="18"/>
                <w:szCs w:val="18"/>
                <w:highlight w:val="none"/>
              </w:rPr>
              <w:br w:type="textWrapping"/>
            </w:r>
            <w:r>
              <w:rPr>
                <w:rFonts w:hint="eastAsia" w:ascii="宋体" w:hAnsi="宋体" w:cs="宋体"/>
                <w:sz w:val="18"/>
                <w:szCs w:val="18"/>
                <w:highlight w:val="none"/>
              </w:rPr>
              <w:t>13. 可支持最大接入总带宽512Mbps的32路视频图像</w:t>
            </w:r>
            <w:r>
              <w:rPr>
                <w:rFonts w:hint="eastAsia" w:ascii="宋体" w:hAnsi="宋体" w:cs="宋体"/>
                <w:sz w:val="18"/>
                <w:szCs w:val="18"/>
                <w:highlight w:val="none"/>
              </w:rPr>
              <w:br w:type="textWrapping"/>
            </w:r>
            <w:r>
              <w:rPr>
                <w:rFonts w:hint="eastAsia" w:ascii="宋体" w:hAnsi="宋体" w:cs="宋体"/>
                <w:sz w:val="18"/>
                <w:szCs w:val="18"/>
                <w:highlight w:val="none"/>
              </w:rPr>
              <w:t>14. 可接入H.265、H.264、MPEG4、SVAC视频编码格式的IPC</w:t>
            </w:r>
            <w:r>
              <w:rPr>
                <w:rFonts w:hint="eastAsia" w:ascii="宋体" w:hAnsi="宋体" w:cs="宋体"/>
                <w:sz w:val="18"/>
                <w:szCs w:val="18"/>
                <w:highlight w:val="none"/>
              </w:rPr>
              <w:br w:type="textWrapping"/>
            </w:r>
            <w:r>
              <w:rPr>
                <w:rFonts w:hint="eastAsia" w:ascii="宋体" w:hAnsi="宋体" w:cs="宋体"/>
                <w:sz w:val="18"/>
                <w:szCs w:val="18"/>
                <w:highlight w:val="none"/>
              </w:rPr>
              <w:t>15. 支持对重要的数据能够进行备份，备份格式MP4和AVI可选</w:t>
            </w:r>
            <w:r>
              <w:rPr>
                <w:rFonts w:hint="eastAsia" w:ascii="宋体" w:hAnsi="宋体" w:cs="宋体"/>
                <w:sz w:val="18"/>
                <w:szCs w:val="18"/>
                <w:highlight w:val="none"/>
              </w:rPr>
              <w:br w:type="textWrapping"/>
            </w:r>
            <w:r>
              <w:rPr>
                <w:rFonts w:hint="eastAsia" w:ascii="宋体" w:hAnsi="宋体" w:cs="宋体"/>
                <w:sz w:val="18"/>
                <w:szCs w:val="18"/>
                <w:highlight w:val="none"/>
              </w:rPr>
              <w:t>16. 支持智能检索回放功能：进行智能检索回放时，通过设置线、四边开、矩形、全屏4种规则，可自动跳过未触发设定规则的录像，只播放触发规则的录像</w:t>
            </w:r>
            <w:r>
              <w:rPr>
                <w:rFonts w:hint="eastAsia" w:ascii="宋体" w:hAnsi="宋体" w:cs="宋体"/>
                <w:sz w:val="18"/>
                <w:szCs w:val="18"/>
                <w:highlight w:val="none"/>
              </w:rPr>
              <w:br w:type="textWrapping"/>
            </w:r>
            <w:r>
              <w:rPr>
                <w:rFonts w:hint="eastAsia" w:ascii="宋体" w:hAnsi="宋体" w:cs="宋体"/>
                <w:sz w:val="18"/>
                <w:szCs w:val="18"/>
                <w:highlight w:val="none"/>
              </w:rPr>
              <w:t>17. 支持带有越界、区域入侵、进入/离开区域、人员聚集、快速移动、物品遗留/拿取、停车、徘徊、场景变更、虚焦、音频异常报警、PIR报警功能的网络摄像机接入与相关报警联动功能</w:t>
            </w:r>
            <w:r>
              <w:rPr>
                <w:rFonts w:hint="eastAsia" w:ascii="宋体" w:hAnsi="宋体" w:cs="宋体"/>
                <w:sz w:val="18"/>
                <w:szCs w:val="18"/>
                <w:highlight w:val="none"/>
              </w:rPr>
              <w:br w:type="textWrapping"/>
            </w:r>
            <w:r>
              <w:rPr>
                <w:rFonts w:hint="eastAsia" w:ascii="宋体" w:hAnsi="宋体" w:cs="宋体"/>
                <w:sz w:val="18"/>
                <w:szCs w:val="18"/>
                <w:highlight w:val="none"/>
              </w:rPr>
              <w:t>18. 支持将选中通道24小时内的录像文件按时间平均分配至多个窗口进行分时回放，窗口数量可配置，最大16分屏</w:t>
            </w:r>
            <w:r>
              <w:rPr>
                <w:rFonts w:hint="eastAsia" w:ascii="宋体" w:hAnsi="宋体" w:cs="宋体"/>
                <w:sz w:val="18"/>
                <w:szCs w:val="18"/>
                <w:highlight w:val="none"/>
              </w:rPr>
              <w:br w:type="textWrapping"/>
            </w:r>
            <w:r>
              <w:rPr>
                <w:rFonts w:hint="eastAsia" w:ascii="宋体" w:hAnsi="宋体" w:cs="宋体"/>
                <w:sz w:val="18"/>
                <w:szCs w:val="18"/>
                <w:highlight w:val="none"/>
              </w:rPr>
              <w:t>19. 支持通过客户端软件预览图像时，当网络带宽低于该通道码率时，自动抽帧处理，使预览画面无花屏、马赛克现象产生</w:t>
            </w:r>
            <w:r>
              <w:rPr>
                <w:rFonts w:hint="eastAsia" w:ascii="宋体" w:hAnsi="宋体" w:cs="宋体"/>
                <w:sz w:val="18"/>
                <w:szCs w:val="18"/>
                <w:highlight w:val="none"/>
              </w:rPr>
              <w:br w:type="textWrapping"/>
            </w:r>
            <w:r>
              <w:rPr>
                <w:rFonts w:hint="eastAsia" w:ascii="宋体" w:hAnsi="宋体" w:cs="宋体"/>
                <w:sz w:val="18"/>
                <w:szCs w:val="18"/>
                <w:highlight w:val="none"/>
              </w:rPr>
              <w:t>20. 支持通过客户端软件预览或远程回放图像时，可重新编码一路与主码流不同分辨率、帧率、码率的图像</w:t>
            </w:r>
            <w:r>
              <w:rPr>
                <w:rFonts w:hint="eastAsia" w:ascii="宋体" w:hAnsi="宋体" w:cs="宋体"/>
                <w:sz w:val="18"/>
                <w:szCs w:val="18"/>
                <w:highlight w:val="none"/>
              </w:rPr>
              <w:br w:type="textWrapping"/>
            </w:r>
            <w:r>
              <w:rPr>
                <w:rFonts w:hint="eastAsia" w:ascii="宋体" w:hAnsi="宋体" w:cs="宋体"/>
                <w:sz w:val="18"/>
                <w:szCs w:val="18"/>
                <w:highlight w:val="none"/>
              </w:rPr>
              <w:t>21. 支持8T容量的SATA接口硬盘；支持硬盘热插拔和休眠</w:t>
            </w:r>
            <w:r>
              <w:rPr>
                <w:rFonts w:hint="eastAsia" w:ascii="宋体" w:hAnsi="宋体" w:cs="宋体"/>
                <w:sz w:val="18"/>
                <w:szCs w:val="18"/>
                <w:highlight w:val="none"/>
              </w:rPr>
              <w:br w:type="textWrapping"/>
            </w:r>
            <w:r>
              <w:rPr>
                <w:rFonts w:hint="eastAsia" w:ascii="宋体" w:hAnsi="宋体" w:cs="宋体"/>
                <w:sz w:val="18"/>
                <w:szCs w:val="18"/>
                <w:highlight w:val="none"/>
              </w:rPr>
              <w:t>22. 支持2个以太网口，可将2个网口设置不同网段的IP地址，分别接入不同网段IP地址的IPC</w:t>
            </w:r>
            <w:r>
              <w:rPr>
                <w:rFonts w:hint="eastAsia" w:ascii="宋体" w:hAnsi="宋体" w:cs="宋体"/>
                <w:sz w:val="18"/>
                <w:szCs w:val="18"/>
                <w:highlight w:val="none"/>
              </w:rPr>
              <w:br w:type="textWrapping"/>
            </w:r>
            <w:r>
              <w:rPr>
                <w:rFonts w:hint="eastAsia" w:ascii="宋体" w:hAnsi="宋体" w:cs="宋体"/>
                <w:sz w:val="18"/>
                <w:szCs w:val="18"/>
                <w:highlight w:val="none"/>
              </w:rPr>
              <w:t>23. 支持系统备份功能，检测到一个系统异常时，可从另一个系统启动，并恢复异常系统</w:t>
            </w:r>
            <w:r>
              <w:rPr>
                <w:rFonts w:hint="eastAsia" w:ascii="宋体" w:hAnsi="宋体" w:cs="宋体"/>
                <w:sz w:val="18"/>
                <w:szCs w:val="18"/>
                <w:highlight w:val="none"/>
              </w:rPr>
              <w:br w:type="textWrapping"/>
            </w:r>
            <w:r>
              <w:rPr>
                <w:rFonts w:hint="eastAsia" w:ascii="宋体" w:hAnsi="宋体" w:cs="宋体"/>
                <w:sz w:val="18"/>
                <w:szCs w:val="18"/>
                <w:highlight w:val="none"/>
              </w:rPr>
              <w:t>24. 支持8个SATA接口，至少支持2个USB2.0，1个USB3.0接口；支持16路报警输入，4路报警输出接口</w:t>
            </w:r>
          </w:p>
        </w:tc>
      </w:tr>
      <w:tr>
        <w:tblPrEx>
          <w:tblCellMar>
            <w:top w:w="0" w:type="dxa"/>
            <w:left w:w="0" w:type="dxa"/>
            <w:bottom w:w="0" w:type="dxa"/>
            <w:right w:w="0" w:type="dxa"/>
          </w:tblCellMar>
        </w:tblPrEx>
        <w:trPr>
          <w:trHeight w:val="9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硬盘录像机</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硬件规格：</w:t>
            </w:r>
            <w:r>
              <w:rPr>
                <w:rFonts w:hint="eastAsia" w:ascii="宋体" w:hAnsi="宋体" w:cs="宋体"/>
                <w:sz w:val="18"/>
                <w:szCs w:val="18"/>
                <w:highlight w:val="none"/>
              </w:rPr>
              <w:br w:type="textWrapping"/>
            </w:r>
            <w:r>
              <w:rPr>
                <w:rFonts w:hint="eastAsia" w:ascii="宋体" w:hAnsi="宋体" w:cs="宋体"/>
                <w:sz w:val="18"/>
                <w:szCs w:val="18"/>
                <w:highlight w:val="none"/>
              </w:rPr>
              <w:t>2U标准机架式</w:t>
            </w:r>
            <w:r>
              <w:rPr>
                <w:rFonts w:hint="eastAsia" w:ascii="宋体" w:hAnsi="宋体" w:cs="宋体"/>
                <w:sz w:val="18"/>
                <w:szCs w:val="18"/>
                <w:highlight w:val="none"/>
              </w:rPr>
              <w:br w:type="textWrapping"/>
            </w:r>
            <w:r>
              <w:rPr>
                <w:rFonts w:hint="eastAsia" w:ascii="宋体" w:hAnsi="宋体" w:cs="宋体"/>
                <w:sz w:val="18"/>
                <w:szCs w:val="18"/>
                <w:highlight w:val="none"/>
              </w:rPr>
              <w:t>2个HDMI，2个VGA,HDMI+VGA组内同源</w:t>
            </w:r>
            <w:r>
              <w:rPr>
                <w:rFonts w:hint="eastAsia" w:ascii="宋体" w:hAnsi="宋体" w:cs="宋体"/>
                <w:sz w:val="18"/>
                <w:szCs w:val="18"/>
                <w:highlight w:val="none"/>
              </w:rPr>
              <w:br w:type="textWrapping"/>
            </w:r>
            <w:r>
              <w:rPr>
                <w:rFonts w:hint="eastAsia" w:ascii="宋体" w:hAnsi="宋体" w:cs="宋体"/>
                <w:sz w:val="18"/>
                <w:szCs w:val="18"/>
                <w:highlight w:val="none"/>
              </w:rPr>
              <w:t xml:space="preserve">8盘位，可满配6TB硬盘 </w:t>
            </w:r>
            <w:r>
              <w:rPr>
                <w:rFonts w:hint="eastAsia" w:ascii="宋体" w:hAnsi="宋体" w:cs="宋体"/>
                <w:sz w:val="18"/>
                <w:szCs w:val="18"/>
                <w:highlight w:val="none"/>
              </w:rPr>
              <w:br w:type="textWrapping"/>
            </w:r>
            <w:r>
              <w:rPr>
                <w:rFonts w:hint="eastAsia" w:ascii="宋体" w:hAnsi="宋体" w:cs="宋体"/>
                <w:sz w:val="18"/>
                <w:szCs w:val="18"/>
                <w:highlight w:val="none"/>
              </w:rPr>
              <w:t>2个千兆网口</w:t>
            </w:r>
            <w:r>
              <w:rPr>
                <w:rFonts w:hint="eastAsia" w:ascii="宋体" w:hAnsi="宋体" w:cs="宋体"/>
                <w:sz w:val="18"/>
                <w:szCs w:val="18"/>
                <w:highlight w:val="none"/>
              </w:rPr>
              <w:br w:type="textWrapping"/>
            </w:r>
            <w:r>
              <w:rPr>
                <w:rFonts w:hint="eastAsia" w:ascii="宋体" w:hAnsi="宋体" w:cs="宋体"/>
                <w:sz w:val="18"/>
                <w:szCs w:val="18"/>
                <w:highlight w:val="none"/>
              </w:rPr>
              <w:t>2个USB2.0接口、1个USB3.0接口</w:t>
            </w:r>
            <w:r>
              <w:rPr>
                <w:rFonts w:hint="eastAsia" w:ascii="宋体" w:hAnsi="宋体" w:cs="宋体"/>
                <w:sz w:val="18"/>
                <w:szCs w:val="18"/>
                <w:highlight w:val="none"/>
              </w:rPr>
              <w:br w:type="textWrapping"/>
            </w:r>
            <w:r>
              <w:rPr>
                <w:rFonts w:hint="eastAsia" w:ascii="宋体" w:hAnsi="宋体" w:cs="宋体"/>
                <w:sz w:val="18"/>
                <w:szCs w:val="18"/>
                <w:highlight w:val="none"/>
              </w:rPr>
              <w:t>1个eSATA接口</w:t>
            </w:r>
            <w:r>
              <w:rPr>
                <w:rFonts w:hint="eastAsia" w:ascii="宋体" w:hAnsi="宋体" w:cs="宋体"/>
                <w:sz w:val="18"/>
                <w:szCs w:val="18"/>
                <w:highlight w:val="none"/>
              </w:rPr>
              <w:br w:type="textWrapping"/>
            </w:r>
            <w:r>
              <w:rPr>
                <w:rFonts w:hint="eastAsia" w:ascii="宋体" w:hAnsi="宋体" w:cs="宋体"/>
                <w:sz w:val="18"/>
                <w:szCs w:val="18"/>
                <w:highlight w:val="none"/>
              </w:rPr>
              <w:t>支持RAID0、1、5、10，支持全局热备盘</w:t>
            </w:r>
            <w:r>
              <w:rPr>
                <w:rFonts w:hint="eastAsia" w:ascii="宋体" w:hAnsi="宋体" w:cs="宋体"/>
                <w:sz w:val="18"/>
                <w:szCs w:val="18"/>
                <w:highlight w:val="none"/>
              </w:rPr>
              <w:br w:type="textWrapping"/>
            </w:r>
            <w:r>
              <w:rPr>
                <w:rFonts w:hint="eastAsia" w:ascii="宋体" w:hAnsi="宋体" w:cs="宋体"/>
                <w:sz w:val="18"/>
                <w:szCs w:val="18"/>
                <w:highlight w:val="none"/>
              </w:rPr>
              <w:br w:type="textWrapping"/>
            </w:r>
            <w:r>
              <w:rPr>
                <w:rFonts w:hint="eastAsia" w:ascii="宋体" w:hAnsi="宋体" w:cs="宋体"/>
                <w:sz w:val="18"/>
                <w:szCs w:val="18"/>
                <w:highlight w:val="none"/>
              </w:rPr>
              <w:t>软件性能：</w:t>
            </w:r>
            <w:r>
              <w:rPr>
                <w:rFonts w:hint="eastAsia" w:ascii="宋体" w:hAnsi="宋体" w:cs="宋体"/>
                <w:sz w:val="18"/>
                <w:szCs w:val="18"/>
                <w:highlight w:val="none"/>
              </w:rPr>
              <w:br w:type="textWrapping"/>
            </w:r>
            <w:r>
              <w:rPr>
                <w:rFonts w:hint="eastAsia" w:ascii="宋体" w:hAnsi="宋体" w:cs="宋体"/>
                <w:sz w:val="18"/>
                <w:szCs w:val="18"/>
                <w:highlight w:val="none"/>
              </w:rPr>
              <w:t>输入带宽：256M</w:t>
            </w:r>
            <w:r>
              <w:rPr>
                <w:rFonts w:hint="eastAsia" w:ascii="宋体" w:hAnsi="宋体" w:cs="宋体"/>
                <w:sz w:val="18"/>
                <w:szCs w:val="18"/>
                <w:highlight w:val="none"/>
              </w:rPr>
              <w:br w:type="textWrapping"/>
            </w:r>
            <w:r>
              <w:rPr>
                <w:rFonts w:hint="eastAsia" w:ascii="宋体" w:hAnsi="宋体" w:cs="宋体"/>
                <w:sz w:val="18"/>
                <w:szCs w:val="18"/>
                <w:highlight w:val="none"/>
              </w:rPr>
              <w:t>16路H.264、H.265混合接入</w:t>
            </w:r>
            <w:r>
              <w:rPr>
                <w:rFonts w:hint="eastAsia" w:ascii="宋体" w:hAnsi="宋体" w:cs="宋体"/>
                <w:sz w:val="18"/>
                <w:szCs w:val="18"/>
                <w:highlight w:val="none"/>
              </w:rPr>
              <w:br w:type="textWrapping"/>
            </w:r>
            <w:r>
              <w:rPr>
                <w:rFonts w:hint="eastAsia" w:ascii="宋体" w:hAnsi="宋体" w:cs="宋体"/>
                <w:sz w:val="18"/>
                <w:szCs w:val="18"/>
                <w:highlight w:val="none"/>
              </w:rPr>
              <w:t>最大支持16×1080P解码</w:t>
            </w:r>
            <w:r>
              <w:rPr>
                <w:rFonts w:hint="eastAsia" w:ascii="宋体" w:hAnsi="宋体" w:cs="宋体"/>
                <w:sz w:val="18"/>
                <w:szCs w:val="18"/>
                <w:highlight w:val="none"/>
              </w:rPr>
              <w:br w:type="textWrapping"/>
            </w:r>
            <w:r>
              <w:rPr>
                <w:rFonts w:hint="eastAsia" w:ascii="宋体" w:hAnsi="宋体" w:cs="宋体"/>
                <w:sz w:val="18"/>
                <w:szCs w:val="18"/>
                <w:highlight w:val="none"/>
              </w:rPr>
              <w:t>支持H.265、H.264解码</w:t>
            </w:r>
            <w:r>
              <w:rPr>
                <w:rFonts w:hint="eastAsia" w:ascii="宋体" w:hAnsi="宋体" w:cs="宋体"/>
                <w:sz w:val="18"/>
                <w:szCs w:val="18"/>
                <w:highlight w:val="none"/>
              </w:rPr>
              <w:br w:type="textWrapping"/>
            </w:r>
            <w:r>
              <w:rPr>
                <w:rFonts w:hint="eastAsia" w:ascii="宋体" w:hAnsi="宋体" w:cs="宋体"/>
                <w:sz w:val="18"/>
                <w:szCs w:val="18"/>
                <w:highlight w:val="none"/>
              </w:rPr>
              <w:t>Smart 2.0/整机热备/ANR/智能检索/智能回放/车牌检索/人脸检索/热度图/客流量统计/分时段回放/超高倍速回放/双系统备份</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 支持设置图案密码，用户通过绘制图案来解锁并登录</w:t>
            </w:r>
          </w:p>
          <w:p>
            <w:pPr>
              <w:rPr>
                <w:rFonts w:ascii="宋体" w:hAnsi="宋体" w:cs="宋体"/>
                <w:sz w:val="18"/>
                <w:szCs w:val="18"/>
                <w:highlight w:val="none"/>
              </w:rPr>
            </w:pPr>
            <w:r>
              <w:rPr>
                <w:rFonts w:hint="eastAsia" w:ascii="宋体" w:hAnsi="宋体" w:cs="宋体"/>
                <w:sz w:val="18"/>
                <w:szCs w:val="18"/>
                <w:highlight w:val="none"/>
              </w:rPr>
              <w:t>2. 支持视频摘要回放功能：将不同时间段的多个目标叠加在一个背景上同时回放</w:t>
            </w:r>
            <w:r>
              <w:rPr>
                <w:rFonts w:hint="eastAsia" w:ascii="宋体" w:hAnsi="宋体" w:cs="宋体"/>
                <w:sz w:val="18"/>
                <w:szCs w:val="18"/>
                <w:highlight w:val="none"/>
              </w:rPr>
              <w:br w:type="textWrapping"/>
            </w:r>
            <w:r>
              <w:rPr>
                <w:rFonts w:hint="eastAsia" w:ascii="宋体" w:hAnsi="宋体" w:cs="宋体"/>
                <w:sz w:val="18"/>
                <w:szCs w:val="18"/>
                <w:highlight w:val="none"/>
              </w:rPr>
              <w:t>3. 可对视频画面叠加10行字符，每行可输入22个汉字</w:t>
            </w:r>
          </w:p>
          <w:p>
            <w:pPr>
              <w:rPr>
                <w:rFonts w:ascii="宋体" w:hAnsi="宋体" w:cs="宋体"/>
                <w:sz w:val="18"/>
                <w:szCs w:val="18"/>
                <w:highlight w:val="none"/>
              </w:rPr>
            </w:pPr>
            <w:r>
              <w:rPr>
                <w:rFonts w:hint="eastAsia" w:ascii="宋体" w:hAnsi="宋体" w:cs="宋体"/>
                <w:sz w:val="18"/>
                <w:szCs w:val="18"/>
                <w:highlight w:val="none"/>
              </w:rPr>
              <w:t>4. 支持缩略图,拖动回放时间进度条，在回放控制条上显示当前拖动时间点的缩略图</w:t>
            </w:r>
            <w:r>
              <w:rPr>
                <w:rFonts w:hint="eastAsia" w:ascii="宋体" w:hAnsi="宋体" w:cs="宋体"/>
                <w:sz w:val="18"/>
                <w:szCs w:val="18"/>
                <w:highlight w:val="none"/>
              </w:rPr>
              <w:br w:type="textWrapping"/>
            </w:r>
            <w:r>
              <w:rPr>
                <w:rFonts w:hint="eastAsia" w:ascii="宋体" w:hAnsi="宋体" w:cs="宋体"/>
                <w:sz w:val="18"/>
                <w:szCs w:val="18"/>
                <w:highlight w:val="none"/>
              </w:rPr>
              <w:t>5. 可支持最大接入总带宽256Mbps的16路H.265编码、1080p格式的视频图像；</w:t>
            </w:r>
            <w:r>
              <w:rPr>
                <w:rFonts w:hint="eastAsia" w:ascii="宋体" w:hAnsi="宋体" w:cs="宋体"/>
                <w:sz w:val="18"/>
                <w:szCs w:val="18"/>
                <w:highlight w:val="none"/>
              </w:rPr>
              <w:br w:type="textWrapping"/>
            </w:r>
            <w:r>
              <w:rPr>
                <w:rFonts w:hint="eastAsia" w:ascii="宋体" w:hAnsi="宋体" w:cs="宋体"/>
                <w:sz w:val="18"/>
                <w:szCs w:val="18"/>
                <w:highlight w:val="none"/>
              </w:rPr>
              <w:t xml:space="preserve">6. 支持对任一录像进行添加自定义标签，单个文件最大支持196个标签，最大可以打4096个标签； </w:t>
            </w:r>
            <w:r>
              <w:rPr>
                <w:rFonts w:hint="eastAsia" w:ascii="宋体" w:hAnsi="宋体" w:cs="宋体"/>
                <w:sz w:val="18"/>
                <w:szCs w:val="18"/>
                <w:highlight w:val="none"/>
              </w:rPr>
              <w:br w:type="textWrapping"/>
            </w:r>
            <w:r>
              <w:rPr>
                <w:rFonts w:hint="eastAsia" w:ascii="宋体" w:hAnsi="宋体" w:cs="宋体"/>
                <w:sz w:val="18"/>
                <w:szCs w:val="18"/>
                <w:highlight w:val="none"/>
              </w:rPr>
              <w:t>7. 可接入双目摄像机进行预览和回放，可通过IE预览和回放双声道摄像机的立体声；</w:t>
            </w:r>
            <w:r>
              <w:rPr>
                <w:rFonts w:hint="eastAsia" w:ascii="宋体" w:hAnsi="宋体" w:cs="宋体"/>
                <w:sz w:val="18"/>
                <w:szCs w:val="18"/>
                <w:highlight w:val="none"/>
              </w:rPr>
              <w:br w:type="textWrapping"/>
            </w:r>
            <w:r>
              <w:rPr>
                <w:rFonts w:hint="eastAsia" w:ascii="宋体" w:hAnsi="宋体" w:cs="宋体"/>
                <w:sz w:val="18"/>
                <w:szCs w:val="18"/>
                <w:highlight w:val="none"/>
              </w:rPr>
              <w:t>8. 支持触控式面板，通过面板按键可进行预览、回放、参数配置等操作；</w:t>
            </w:r>
            <w:r>
              <w:rPr>
                <w:rFonts w:hint="eastAsia" w:ascii="宋体" w:hAnsi="宋体" w:cs="宋体"/>
                <w:sz w:val="18"/>
                <w:szCs w:val="18"/>
                <w:highlight w:val="none"/>
              </w:rPr>
              <w:br w:type="textWrapping"/>
            </w:r>
            <w:r>
              <w:rPr>
                <w:rFonts w:hint="eastAsia" w:ascii="宋体" w:hAnsi="宋体" w:cs="宋体"/>
                <w:sz w:val="18"/>
                <w:szCs w:val="18"/>
                <w:highlight w:val="none"/>
              </w:rPr>
              <w:t xml:space="preserve">9. 支持报警输入触发一键撤防功能，撤防的报警类型可选（弹出报警画面、声音警告、上传中心、发送邮件、触发报警输出）； </w:t>
            </w:r>
            <w:r>
              <w:rPr>
                <w:rFonts w:hint="eastAsia" w:ascii="宋体" w:hAnsi="宋体" w:cs="宋体"/>
                <w:sz w:val="18"/>
                <w:szCs w:val="18"/>
                <w:highlight w:val="none"/>
              </w:rPr>
              <w:br w:type="textWrapping"/>
            </w:r>
            <w:r>
              <w:rPr>
                <w:rFonts w:hint="eastAsia" w:ascii="宋体" w:hAnsi="宋体" w:cs="宋体"/>
                <w:sz w:val="18"/>
                <w:szCs w:val="18"/>
                <w:highlight w:val="none"/>
              </w:rPr>
              <w:t>10. 支持POS功能，可接入POS机，叠加POS信息到录像中，可修改POS信息的字体大小和颜色，可按关键字搜索录像；</w:t>
            </w:r>
            <w:r>
              <w:rPr>
                <w:rFonts w:hint="eastAsia" w:ascii="宋体" w:hAnsi="宋体" w:cs="宋体"/>
                <w:sz w:val="18"/>
                <w:szCs w:val="18"/>
                <w:highlight w:val="none"/>
              </w:rPr>
              <w:br w:type="textWrapping"/>
            </w:r>
            <w:r>
              <w:rPr>
                <w:rFonts w:hint="eastAsia" w:ascii="宋体" w:hAnsi="宋体" w:cs="宋体"/>
                <w:sz w:val="18"/>
                <w:szCs w:val="18"/>
                <w:highlight w:val="none"/>
              </w:rPr>
              <w:t>11. 支持接入ONVIF协议、RTSP协议、GB/T28181协议的设备，可一键激活并添加局域网内IPC；</w:t>
            </w:r>
            <w:r>
              <w:rPr>
                <w:rFonts w:hint="eastAsia" w:ascii="宋体" w:hAnsi="宋体" w:cs="宋体"/>
                <w:sz w:val="18"/>
                <w:szCs w:val="18"/>
                <w:highlight w:val="none"/>
              </w:rPr>
              <w:br w:type="textWrapping"/>
            </w:r>
            <w:r>
              <w:rPr>
                <w:rFonts w:hint="eastAsia" w:ascii="宋体" w:hAnsi="宋体" w:cs="宋体"/>
                <w:sz w:val="18"/>
                <w:szCs w:val="18"/>
                <w:highlight w:val="none"/>
              </w:rPr>
              <w:t xml:space="preserve">12. 支持2组4屏显示输出，每组包含HDMI和VGA各一个，同一组内为同源输出，两组之间可异源输出视频图像，并可分别控制进行预览、回放、配置等操作；支持16/9/8/6/4/1分屏预览； </w:t>
            </w:r>
            <w:r>
              <w:rPr>
                <w:rFonts w:hint="eastAsia" w:ascii="宋体" w:hAnsi="宋体" w:cs="宋体"/>
                <w:sz w:val="18"/>
                <w:szCs w:val="18"/>
                <w:highlight w:val="none"/>
              </w:rPr>
              <w:br w:type="textWrapping"/>
            </w:r>
            <w:r>
              <w:rPr>
                <w:rFonts w:hint="eastAsia" w:ascii="宋体" w:hAnsi="宋体" w:cs="宋体"/>
                <w:sz w:val="18"/>
                <w:szCs w:val="18"/>
                <w:highlight w:val="none"/>
              </w:rPr>
              <w:t>13. 支持带有越界、区域入侵、进入/离开区域、人员聚集、快速移动、物品遗留/拿取、停车、徘徊、场景变更、虚焦、音频异常报警、PIR报警功能的网络摄像机接入与相关报警联动功能（以公安部授权机构出具的招标公告前的有效检验报告复印件数据为准，须加盖公章，原件备查）</w:t>
            </w:r>
            <w:r>
              <w:rPr>
                <w:rFonts w:hint="eastAsia" w:ascii="宋体" w:hAnsi="宋体" w:cs="宋体"/>
                <w:sz w:val="18"/>
                <w:szCs w:val="18"/>
                <w:highlight w:val="none"/>
              </w:rPr>
              <w:br w:type="textWrapping"/>
            </w:r>
            <w:r>
              <w:rPr>
                <w:rFonts w:hint="eastAsia" w:ascii="宋体" w:hAnsi="宋体" w:cs="宋体"/>
                <w:sz w:val="18"/>
                <w:szCs w:val="18"/>
                <w:highlight w:val="none"/>
              </w:rPr>
              <w:t>14. 支持4000X3000格式的高清网络视频的解码显示；</w:t>
            </w:r>
            <w:r>
              <w:rPr>
                <w:rFonts w:hint="eastAsia" w:ascii="宋体" w:hAnsi="宋体" w:cs="宋体"/>
                <w:sz w:val="18"/>
                <w:szCs w:val="18"/>
                <w:highlight w:val="none"/>
              </w:rPr>
              <w:br w:type="textWrapping"/>
            </w:r>
            <w:r>
              <w:rPr>
                <w:rFonts w:hint="eastAsia" w:ascii="宋体" w:hAnsi="宋体" w:cs="宋体"/>
                <w:sz w:val="18"/>
                <w:szCs w:val="18"/>
                <w:highlight w:val="none"/>
              </w:rPr>
              <w:t>15. 支持录像打包时间1-300分钟可设置（以公安部授权机构出具的招标公告前的有效检验报告复印件数据为准，须加盖公章，原件备查）</w:t>
            </w:r>
            <w:r>
              <w:rPr>
                <w:rFonts w:hint="eastAsia" w:ascii="宋体" w:hAnsi="宋体" w:cs="宋体"/>
                <w:sz w:val="18"/>
                <w:szCs w:val="18"/>
                <w:highlight w:val="none"/>
              </w:rPr>
              <w:br w:type="textWrapping"/>
            </w:r>
            <w:r>
              <w:rPr>
                <w:rFonts w:hint="eastAsia" w:ascii="宋体" w:hAnsi="宋体" w:cs="宋体"/>
                <w:sz w:val="18"/>
                <w:szCs w:val="18"/>
                <w:highlight w:val="none"/>
              </w:rPr>
              <w:t>16. 支持双码流同时录像；</w:t>
            </w:r>
            <w:r>
              <w:rPr>
                <w:rFonts w:hint="eastAsia" w:ascii="宋体" w:hAnsi="宋体" w:cs="宋体"/>
                <w:sz w:val="18"/>
                <w:szCs w:val="18"/>
                <w:highlight w:val="none"/>
              </w:rPr>
              <w:br w:type="textWrapping"/>
            </w:r>
            <w:r>
              <w:rPr>
                <w:rFonts w:hint="eastAsia" w:ascii="宋体" w:hAnsi="宋体" w:cs="宋体"/>
                <w:sz w:val="18"/>
                <w:szCs w:val="18"/>
                <w:highlight w:val="none"/>
              </w:rPr>
              <w:t>17. 支持1/8、1/4、1/2、1、2、4、8、16、32、64、128、256等倍速回放录像，支持录像回放的剪辑和回放截图功能（以公安部授权机构出具的招标公告前的有效检验报告复印件数据为准，须加盖公章，原件备查）</w:t>
            </w:r>
            <w:r>
              <w:rPr>
                <w:rFonts w:hint="eastAsia" w:ascii="宋体" w:hAnsi="宋体" w:cs="宋体"/>
                <w:sz w:val="18"/>
                <w:szCs w:val="18"/>
                <w:highlight w:val="none"/>
              </w:rPr>
              <w:br w:type="textWrapping"/>
            </w:r>
            <w:r>
              <w:rPr>
                <w:rFonts w:hint="eastAsia" w:ascii="宋体" w:hAnsi="宋体" w:cs="宋体"/>
                <w:sz w:val="18"/>
                <w:szCs w:val="18"/>
                <w:highlight w:val="none"/>
              </w:rPr>
              <w:t>18. 支持8个SATA接口，1个eSATA接口，至少支持2个USB2.0，1个USB3.0接口；支持16路报警输入，8路报警输出接口（以公安部授权机构出具的招标公告前的有效检验报告复印件数据为准，须加盖公章，原件备查）</w:t>
            </w:r>
          </w:p>
        </w:tc>
      </w:tr>
      <w:tr>
        <w:tblPrEx>
          <w:tblCellMar>
            <w:top w:w="0" w:type="dxa"/>
            <w:left w:w="0" w:type="dxa"/>
            <w:bottom w:w="0" w:type="dxa"/>
            <w:right w:w="0" w:type="dxa"/>
          </w:tblCellMar>
        </w:tblPrEx>
        <w:trPr>
          <w:trHeight w:val="106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3.5寸监控级硬盘</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 xml:space="preserve"> 3.5英寸 4TB IntelliPower 64M SATA3</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5714"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16</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铜缆双绞线</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超5类网线</w:t>
            </w:r>
            <w:r>
              <w:rPr>
                <w:rFonts w:hint="eastAsia" w:ascii="宋体" w:hAnsi="宋体" w:cs="宋体"/>
                <w:sz w:val="18"/>
                <w:szCs w:val="18"/>
                <w:highlight w:val="none"/>
              </w:rPr>
              <w:br w:type="textWrapping"/>
            </w:r>
            <w:r>
              <w:rPr>
                <w:rFonts w:hint="eastAsia" w:ascii="宋体" w:hAnsi="宋体" w:cs="宋体"/>
                <w:sz w:val="18"/>
                <w:szCs w:val="18"/>
                <w:highlight w:val="none"/>
              </w:rPr>
              <w:t>Cat5e非屏蔽双绞线</w:t>
            </w:r>
            <w:r>
              <w:rPr>
                <w:rFonts w:hint="eastAsia" w:ascii="宋体" w:hAnsi="宋体" w:cs="宋体"/>
                <w:sz w:val="18"/>
                <w:szCs w:val="18"/>
                <w:highlight w:val="none"/>
              </w:rPr>
              <w:br w:type="textWrapping"/>
            </w:r>
            <w:r>
              <w:rPr>
                <w:rFonts w:hint="eastAsia" w:ascii="宋体" w:hAnsi="宋体" w:cs="宋体"/>
                <w:sz w:val="18"/>
                <w:szCs w:val="18"/>
                <w:highlight w:val="none"/>
              </w:rPr>
              <w:t>CM防火等级</w:t>
            </w:r>
            <w:r>
              <w:rPr>
                <w:rFonts w:hint="eastAsia" w:ascii="宋体" w:hAnsi="宋体" w:cs="宋体"/>
                <w:sz w:val="18"/>
                <w:szCs w:val="18"/>
                <w:highlight w:val="none"/>
              </w:rPr>
              <w:br w:type="textWrapping"/>
            </w:r>
            <w:r>
              <w:rPr>
                <w:rFonts w:hint="eastAsia" w:ascii="宋体" w:hAnsi="宋体" w:cs="宋体"/>
                <w:sz w:val="18"/>
                <w:szCs w:val="18"/>
                <w:highlight w:val="none"/>
              </w:rPr>
              <w:t>24AWG</w:t>
            </w:r>
            <w:r>
              <w:rPr>
                <w:rFonts w:hint="eastAsia" w:ascii="宋体" w:hAnsi="宋体" w:cs="宋体"/>
                <w:sz w:val="18"/>
                <w:szCs w:val="18"/>
                <w:highlight w:val="none"/>
              </w:rPr>
              <w:br w:type="textWrapping"/>
            </w:r>
            <w:r>
              <w:rPr>
                <w:rFonts w:hint="eastAsia" w:ascii="宋体" w:hAnsi="宋体" w:cs="宋体"/>
                <w:sz w:val="18"/>
                <w:szCs w:val="18"/>
                <w:highlight w:val="none"/>
              </w:rPr>
              <w:t>工作温度为-20~60℃</w:t>
            </w:r>
            <w:r>
              <w:rPr>
                <w:rFonts w:hint="eastAsia" w:ascii="宋体" w:hAnsi="宋体" w:cs="宋体"/>
                <w:sz w:val="18"/>
                <w:szCs w:val="18"/>
                <w:highlight w:val="none"/>
              </w:rPr>
              <w:br w:type="textWrapping"/>
            </w:r>
            <w:r>
              <w:rPr>
                <w:rFonts w:hint="eastAsia" w:ascii="宋体" w:hAnsi="宋体" w:cs="宋体"/>
                <w:sz w:val="18"/>
                <w:szCs w:val="18"/>
                <w:highlight w:val="none"/>
              </w:rPr>
              <w:t>标准：符合ISO/IEC 11801、TIA-568-C.2、GB/T 18015.5要求</w:t>
            </w:r>
            <w:r>
              <w:rPr>
                <w:rFonts w:hint="eastAsia" w:ascii="宋体" w:hAnsi="宋体" w:cs="宋体"/>
                <w:sz w:val="18"/>
                <w:szCs w:val="18"/>
                <w:highlight w:val="none"/>
              </w:rPr>
              <w:br w:type="textWrapping"/>
            </w:r>
            <w:r>
              <w:rPr>
                <w:rFonts w:hint="eastAsia" w:ascii="宋体" w:hAnsi="宋体" w:cs="宋体"/>
                <w:sz w:val="18"/>
                <w:szCs w:val="18"/>
                <w:highlight w:val="none"/>
              </w:rPr>
              <w:t>所用材料符合RoHS要求</w:t>
            </w:r>
            <w:r>
              <w:rPr>
                <w:rFonts w:hint="eastAsia" w:ascii="宋体" w:hAnsi="宋体" w:cs="宋体"/>
                <w:sz w:val="18"/>
                <w:szCs w:val="18"/>
                <w:highlight w:val="none"/>
              </w:rPr>
              <w:br w:type="textWrapping"/>
            </w:r>
            <w:r>
              <w:rPr>
                <w:rFonts w:hint="eastAsia" w:ascii="宋体" w:hAnsi="宋体" w:cs="宋体"/>
                <w:sz w:val="18"/>
                <w:szCs w:val="18"/>
                <w:highlight w:val="none"/>
              </w:rPr>
              <w:t>并通过符合UL认证的CM防火等级认证</w:t>
            </w:r>
            <w:r>
              <w:rPr>
                <w:rFonts w:hint="eastAsia" w:ascii="宋体" w:hAnsi="宋体" w:cs="宋体"/>
                <w:sz w:val="18"/>
                <w:szCs w:val="18"/>
                <w:highlight w:val="none"/>
              </w:rPr>
              <w:br w:type="textWrapping"/>
            </w:r>
            <w:r>
              <w:rPr>
                <w:rFonts w:hint="eastAsia" w:ascii="宋体" w:hAnsi="宋体" w:cs="宋体"/>
                <w:sz w:val="18"/>
                <w:szCs w:val="18"/>
                <w:highlight w:val="none"/>
              </w:rPr>
              <w:t>性能指标优于现行5e类线缆100MHz标准；</w:t>
            </w:r>
            <w:r>
              <w:rPr>
                <w:rFonts w:hint="eastAsia" w:ascii="宋体" w:hAnsi="宋体" w:cs="宋体"/>
                <w:sz w:val="18"/>
                <w:szCs w:val="18"/>
                <w:highlight w:val="none"/>
              </w:rPr>
              <w:br w:type="textWrapping"/>
            </w:r>
            <w:r>
              <w:rPr>
                <w:rFonts w:hint="eastAsia" w:ascii="宋体" w:hAnsi="宋体" w:cs="宋体"/>
                <w:sz w:val="18"/>
                <w:szCs w:val="18"/>
                <w:highlight w:val="none"/>
              </w:rPr>
              <w:t>标准装箱长度:305m±1.5m；</w:t>
            </w:r>
            <w:r>
              <w:rPr>
                <w:rFonts w:hint="eastAsia" w:ascii="宋体" w:hAnsi="宋体" w:cs="宋体"/>
                <w:sz w:val="18"/>
                <w:szCs w:val="18"/>
                <w:highlight w:val="none"/>
              </w:rPr>
              <w:br w:type="textWrapping"/>
            </w:r>
            <w:r>
              <w:rPr>
                <w:rFonts w:hint="eastAsia" w:ascii="宋体" w:hAnsi="宋体" w:cs="宋体"/>
                <w:sz w:val="18"/>
                <w:szCs w:val="18"/>
                <w:highlight w:val="none"/>
              </w:rPr>
              <w:t>线缆颜色:灰色；</w:t>
            </w:r>
            <w:r>
              <w:rPr>
                <w:rFonts w:hint="eastAsia" w:ascii="宋体" w:hAnsi="宋体" w:cs="宋体"/>
                <w:sz w:val="18"/>
                <w:szCs w:val="18"/>
                <w:highlight w:val="none"/>
              </w:rPr>
              <w:br w:type="textWrapping"/>
            </w:r>
            <w:r>
              <w:rPr>
                <w:rFonts w:hint="eastAsia" w:ascii="宋体" w:hAnsi="宋体" w:cs="宋体"/>
                <w:sz w:val="18"/>
                <w:szCs w:val="18"/>
                <w:highlight w:val="none"/>
              </w:rPr>
              <w:t>芯线规格:24AWG</w:t>
            </w:r>
            <w:r>
              <w:rPr>
                <w:rFonts w:hint="eastAsia" w:ascii="宋体" w:hAnsi="宋体" w:cs="宋体"/>
                <w:sz w:val="18"/>
                <w:szCs w:val="18"/>
                <w:highlight w:val="none"/>
              </w:rPr>
              <w:br w:type="textWrapping"/>
            </w:r>
            <w:r>
              <w:rPr>
                <w:rFonts w:hint="eastAsia" w:ascii="宋体" w:hAnsi="宋体" w:cs="宋体"/>
                <w:sz w:val="18"/>
                <w:szCs w:val="18"/>
                <w:highlight w:val="none"/>
              </w:rPr>
              <w:t>无氧铜；</w:t>
            </w:r>
            <w:r>
              <w:rPr>
                <w:rFonts w:hint="eastAsia" w:ascii="宋体" w:hAnsi="宋体" w:cs="宋体"/>
                <w:sz w:val="18"/>
                <w:szCs w:val="18"/>
                <w:highlight w:val="none"/>
              </w:rPr>
              <w:br w:type="textWrapping"/>
            </w:r>
            <w:r>
              <w:rPr>
                <w:rFonts w:hint="eastAsia" w:ascii="宋体" w:hAnsi="宋体" w:cs="宋体"/>
                <w:sz w:val="18"/>
                <w:szCs w:val="18"/>
                <w:highlight w:val="none"/>
              </w:rPr>
              <w:t>线缆结构：4对8芯双绞线</w:t>
            </w:r>
            <w:r>
              <w:rPr>
                <w:rFonts w:hint="eastAsia" w:ascii="宋体" w:hAnsi="宋体" w:cs="宋体"/>
                <w:sz w:val="18"/>
                <w:szCs w:val="18"/>
                <w:highlight w:val="none"/>
              </w:rPr>
              <w:br w:type="textWrapping"/>
            </w:r>
            <w:r>
              <w:rPr>
                <w:rFonts w:hint="eastAsia" w:ascii="宋体" w:hAnsi="宋体" w:cs="宋体"/>
                <w:sz w:val="18"/>
                <w:szCs w:val="18"/>
                <w:highlight w:val="none"/>
              </w:rPr>
              <w:t>每芯均有颜色区分</w:t>
            </w:r>
            <w:r>
              <w:rPr>
                <w:rFonts w:hint="eastAsia" w:ascii="宋体" w:hAnsi="宋体" w:cs="宋体"/>
                <w:sz w:val="18"/>
                <w:szCs w:val="18"/>
                <w:highlight w:val="none"/>
              </w:rPr>
              <w:br w:type="textWrapping"/>
            </w:r>
            <w:r>
              <w:rPr>
                <w:rFonts w:hint="eastAsia" w:ascii="宋体" w:hAnsi="宋体" w:cs="宋体"/>
                <w:sz w:val="18"/>
                <w:szCs w:val="18"/>
                <w:highlight w:val="none"/>
              </w:rPr>
              <w:t>外皮印有厂商标识及电缆编码</w:t>
            </w:r>
            <w:r>
              <w:rPr>
                <w:rFonts w:hint="eastAsia" w:ascii="宋体" w:hAnsi="宋体" w:cs="宋体"/>
                <w:sz w:val="18"/>
                <w:szCs w:val="18"/>
                <w:highlight w:val="none"/>
              </w:rPr>
              <w:br w:type="textWrapping"/>
            </w:r>
            <w:r>
              <w:rPr>
                <w:rFonts w:hint="eastAsia" w:ascii="宋体" w:hAnsi="宋体" w:cs="宋体"/>
                <w:sz w:val="18"/>
                <w:szCs w:val="18"/>
                <w:highlight w:val="none"/>
              </w:rPr>
              <w:t>有撕裂绳；</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3954"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17</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交换机</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16口百兆非网管交换机</w:t>
            </w:r>
            <w:r>
              <w:rPr>
                <w:rFonts w:hint="eastAsia" w:ascii="宋体" w:hAnsi="宋体" w:cs="宋体"/>
                <w:sz w:val="18"/>
                <w:szCs w:val="18"/>
                <w:highlight w:val="none"/>
              </w:rPr>
              <w:br w:type="textWrapping"/>
            </w:r>
            <w:r>
              <w:rPr>
                <w:rFonts w:hint="eastAsia" w:ascii="宋体" w:hAnsi="宋体" w:cs="宋体"/>
                <w:sz w:val="18"/>
                <w:szCs w:val="18"/>
                <w:highlight w:val="none"/>
              </w:rPr>
              <w:t>机架式</w:t>
            </w:r>
            <w:r>
              <w:rPr>
                <w:rFonts w:hint="eastAsia" w:ascii="宋体" w:hAnsi="宋体" w:cs="宋体"/>
                <w:sz w:val="18"/>
                <w:szCs w:val="18"/>
                <w:highlight w:val="none"/>
              </w:rPr>
              <w:br w:type="textWrapping"/>
            </w:r>
            <w:r>
              <w:rPr>
                <w:rFonts w:hint="eastAsia" w:ascii="宋体" w:hAnsi="宋体" w:cs="宋体"/>
                <w:sz w:val="18"/>
                <w:szCs w:val="18"/>
                <w:highlight w:val="none"/>
              </w:rPr>
              <w:t>16个百兆电口</w:t>
            </w:r>
            <w:r>
              <w:rPr>
                <w:rFonts w:hint="eastAsia" w:ascii="宋体" w:hAnsi="宋体" w:cs="宋体"/>
                <w:sz w:val="18"/>
                <w:szCs w:val="18"/>
                <w:highlight w:val="none"/>
              </w:rPr>
              <w:br w:type="textWrapping"/>
            </w:r>
            <w:r>
              <w:rPr>
                <w:rFonts w:hint="eastAsia" w:ascii="宋体" w:hAnsi="宋体" w:cs="宋体"/>
                <w:sz w:val="18"/>
                <w:szCs w:val="18"/>
                <w:highlight w:val="none"/>
              </w:rPr>
              <w:t>2个千兆电口</w:t>
            </w:r>
            <w:r>
              <w:rPr>
                <w:rFonts w:hint="eastAsia" w:ascii="宋体" w:hAnsi="宋体" w:cs="宋体"/>
                <w:sz w:val="18"/>
                <w:szCs w:val="18"/>
                <w:highlight w:val="none"/>
              </w:rPr>
              <w:br w:type="textWrapping"/>
            </w:r>
            <w:r>
              <w:rPr>
                <w:rFonts w:hint="eastAsia" w:ascii="宋体" w:hAnsi="宋体" w:cs="宋体"/>
                <w:sz w:val="18"/>
                <w:szCs w:val="18"/>
                <w:highlight w:val="none"/>
              </w:rPr>
              <w:t>2个复用的千兆光口</w:t>
            </w:r>
            <w:r>
              <w:rPr>
                <w:rFonts w:hint="eastAsia" w:ascii="宋体" w:hAnsi="宋体" w:cs="宋体"/>
                <w:sz w:val="18"/>
                <w:szCs w:val="18"/>
                <w:highlight w:val="none"/>
              </w:rPr>
              <w:br w:type="textWrapping"/>
            </w:r>
            <w:r>
              <w:rPr>
                <w:rFonts w:hint="eastAsia" w:ascii="宋体" w:hAnsi="宋体" w:cs="宋体"/>
                <w:sz w:val="18"/>
                <w:szCs w:val="18"/>
                <w:highlight w:val="none"/>
              </w:rPr>
              <w:t>非网管。交换容量7.2Gbps</w:t>
            </w:r>
            <w:r>
              <w:rPr>
                <w:rFonts w:hint="eastAsia" w:ascii="宋体" w:hAnsi="宋体" w:cs="宋体"/>
                <w:sz w:val="18"/>
                <w:szCs w:val="18"/>
                <w:highlight w:val="none"/>
              </w:rPr>
              <w:br w:type="textWrapping"/>
            </w:r>
            <w:r>
              <w:rPr>
                <w:rFonts w:hint="eastAsia" w:ascii="宋体" w:hAnsi="宋体" w:cs="宋体"/>
                <w:sz w:val="18"/>
                <w:szCs w:val="18"/>
                <w:highlight w:val="none"/>
              </w:rPr>
              <w:t>包转发率5.36Mpps</w:t>
            </w:r>
            <w:r>
              <w:rPr>
                <w:rFonts w:hint="eastAsia" w:ascii="宋体" w:hAnsi="宋体" w:cs="宋体"/>
                <w:sz w:val="18"/>
                <w:szCs w:val="18"/>
                <w:highlight w:val="none"/>
              </w:rPr>
              <w:br w:type="textWrapping"/>
            </w:r>
            <w:r>
              <w:rPr>
                <w:rFonts w:hint="eastAsia" w:ascii="宋体" w:hAnsi="宋体" w:cs="宋体"/>
                <w:sz w:val="18"/>
                <w:szCs w:val="18"/>
                <w:highlight w:val="none"/>
              </w:rPr>
              <w:t>257mm(长)×44.5mm(高)×176mm(深)</w:t>
            </w:r>
            <w:r>
              <w:rPr>
                <w:rFonts w:hint="eastAsia" w:ascii="宋体" w:hAnsi="宋体" w:cs="宋体"/>
                <w:sz w:val="18"/>
                <w:szCs w:val="18"/>
                <w:highlight w:val="none"/>
              </w:rPr>
              <w:br w:type="textWrapping"/>
            </w:r>
            <w:r>
              <w:rPr>
                <w:rFonts w:hint="eastAsia" w:ascii="宋体" w:hAnsi="宋体" w:cs="宋体"/>
                <w:sz w:val="18"/>
                <w:szCs w:val="18"/>
                <w:highlight w:val="none"/>
              </w:rPr>
              <w:t>工作温度：-10～60℃</w:t>
            </w:r>
            <w:r>
              <w:rPr>
                <w:rFonts w:hint="eastAsia" w:ascii="宋体" w:hAnsi="宋体" w:cs="宋体"/>
                <w:sz w:val="18"/>
                <w:szCs w:val="18"/>
                <w:highlight w:val="none"/>
              </w:rPr>
              <w:br w:type="textWrapping"/>
            </w:r>
            <w:r>
              <w:rPr>
                <w:rFonts w:hint="eastAsia" w:ascii="宋体" w:hAnsi="宋体" w:cs="宋体"/>
                <w:sz w:val="18"/>
                <w:szCs w:val="18"/>
                <w:highlight w:val="none"/>
              </w:rPr>
              <w:t>支持220v交流</w:t>
            </w:r>
            <w:r>
              <w:rPr>
                <w:rFonts w:hint="eastAsia" w:ascii="宋体" w:hAnsi="宋体" w:cs="宋体"/>
                <w:sz w:val="18"/>
                <w:szCs w:val="18"/>
                <w:highlight w:val="none"/>
              </w:rPr>
              <w:br w:type="textWrapping"/>
            </w:r>
            <w:r>
              <w:rPr>
                <w:rFonts w:hint="eastAsia" w:ascii="宋体" w:hAnsi="宋体" w:cs="宋体"/>
                <w:sz w:val="18"/>
                <w:szCs w:val="18"/>
                <w:highlight w:val="none"/>
              </w:rPr>
              <w:t>满负荷功耗10瓦</w:t>
            </w:r>
            <w:r>
              <w:rPr>
                <w:rFonts w:hint="eastAsia" w:ascii="宋体" w:hAnsi="宋体" w:cs="宋体"/>
                <w:sz w:val="18"/>
                <w:szCs w:val="18"/>
                <w:highlight w:val="none"/>
              </w:rPr>
              <w:br w:type="textWrapping"/>
            </w:r>
            <w:r>
              <w:rPr>
                <w:rFonts w:hint="eastAsia" w:ascii="宋体" w:hAnsi="宋体" w:cs="宋体"/>
                <w:sz w:val="18"/>
                <w:szCs w:val="18"/>
                <w:highlight w:val="none"/>
              </w:rPr>
              <w:t xml:space="preserve">1-8号端口支持视频红口保障技术  </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110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18</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电子围栏产品</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6线国标终端杆； 材质：铝合金；6线制； 表面氧化处理； 高度：850mm，口径32mm、方形、壁厚3mm厚；包装：热塑膜；线距规格：850mm</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126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19</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电子围栏产品</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6线国标终端杆附件包；  含终端杆帽子（内塞27口径）1个、终端杆绝缘子（方形32口径配插销）6个、终端杆底座（铝合金）1套、收紧器6个、线线连接器12个</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943"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电子围栏产品</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6线国标承力杆；6线制；材质：铝合金；表面氧化处理，口径25mm，杆长850mm，壁厚2.0mm；包装：热塑膜</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106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电子围栏产品</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6线国标承力杆附件包；含承力杆帽子（内塞21口径）1个、承力杆绝缘子（方形25口径配插销）6个、承力杆万向底座（铝合金）1个</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923"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电子围栏产品</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4/6线通用中间杆； 材质：软性玻璃纤维；6线，口径10mm，杆长850mm</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863"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电子围栏产品</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6线中间杆附件包； 含中间杆帽子（口径10）1个、中间杆绝缘子6个、中间杆底座（铝合金）1个</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823"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电子围栏产品</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20#合金线，优良导电率，抗氧化、耐腐蚀,去火功能，多股，每100米一欧姆阻值，400m一盘</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823"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电子围栏产品</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20#合金线，优良导电率，抗氧化、耐腐蚀,去火功能，多股，每100米一欧姆阻值，100m一盘。</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763"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26</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电子围栏产品</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警示牌；尺寸：100*200MM/采用稀土发光材料制造/在阴雨天气同样可吸光/双面印刷/夜光显示/每10米挂一块</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r>
        <w:tblPrEx>
          <w:tblCellMar>
            <w:top w:w="0" w:type="dxa"/>
            <w:left w:w="0" w:type="dxa"/>
            <w:bottom w:w="0" w:type="dxa"/>
            <w:right w:w="0" w:type="dxa"/>
          </w:tblCellMar>
        </w:tblPrEx>
        <w:trPr>
          <w:trHeight w:val="833"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27</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线材一批</w:t>
            </w:r>
          </w:p>
        </w:tc>
        <w:tc>
          <w:tcPr>
            <w:tcW w:w="5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r>
              <w:rPr>
                <w:rFonts w:hint="eastAsia" w:ascii="宋体" w:hAnsi="宋体" w:cs="宋体"/>
                <w:sz w:val="18"/>
                <w:szCs w:val="18"/>
                <w:highlight w:val="none"/>
              </w:rPr>
              <w:t>RVV2*1.5电源线、光纤、RVV2*1.5或RVV2*1.0485信号线</w:t>
            </w:r>
          </w:p>
        </w:tc>
        <w:tc>
          <w:tcPr>
            <w:tcW w:w="2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18"/>
                <w:szCs w:val="18"/>
                <w:highlight w:val="none"/>
              </w:rPr>
            </w:pPr>
          </w:p>
        </w:tc>
      </w:tr>
    </w:tbl>
    <w:p>
      <w:pPr>
        <w:rPr>
          <w:highlight w:val="none"/>
        </w:rPr>
      </w:pPr>
    </w:p>
    <w:p>
      <w:pPr>
        <w:pStyle w:val="7"/>
        <w:spacing w:line="360" w:lineRule="auto"/>
        <w:rPr>
          <w:rFonts w:ascii="宋体" w:hAnsi="宋体" w:cs="宋体"/>
          <w:sz w:val="24"/>
          <w:szCs w:val="24"/>
          <w:highlight w:val="none"/>
        </w:rPr>
      </w:pPr>
      <w:bookmarkStart w:id="108" w:name="_Toc40254121"/>
      <w:r>
        <w:rPr>
          <w:rFonts w:hint="eastAsia" w:ascii="宋体" w:hAnsi="宋体" w:cs="宋体"/>
          <w:sz w:val="24"/>
          <w:szCs w:val="24"/>
          <w:highlight w:val="none"/>
        </w:rPr>
        <w:t>2、仪表及自控系统工程</w:t>
      </w:r>
      <w:bookmarkEnd w:id="108"/>
    </w:p>
    <w:p>
      <w:pPr>
        <w:pStyle w:val="7"/>
        <w:spacing w:line="360" w:lineRule="auto"/>
        <w:rPr>
          <w:rStyle w:val="38"/>
          <w:rFonts w:ascii="宋体" w:hAnsi="宋体" w:cs="宋体"/>
          <w:b w:val="0"/>
          <w:bCs/>
          <w:sz w:val="24"/>
          <w:szCs w:val="24"/>
          <w:highlight w:val="none"/>
        </w:rPr>
      </w:pPr>
      <w:bookmarkStart w:id="109" w:name="_Toc40254122"/>
      <w:r>
        <w:rPr>
          <w:rStyle w:val="38"/>
          <w:rFonts w:hint="eastAsia" w:ascii="宋体" w:hAnsi="宋体" w:cs="宋体"/>
          <w:b w:val="0"/>
          <w:bCs/>
          <w:sz w:val="24"/>
          <w:szCs w:val="24"/>
          <w:highlight w:val="none"/>
        </w:rPr>
        <w:t>2.1在线检测仪表设备特殊技术要求</w:t>
      </w:r>
      <w:bookmarkEnd w:id="109"/>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2.1.1概述</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以满足工艺要求为基本原则，配合自动控制系统，在全厂各工艺段设置与工艺流程相适应的在线仪表检测系统，以满足生产运行过程的监测和控制要求。</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中标人所选用的仪表必须是成套配备，包括仪表本身及所有安装所需的各种附件（传感器支架、传感器至变送器电缆等）以及连接线、连接件等应包括在报价内。仪表变送器自带电缆长度应符合现场安装的需求提供，与变送器之间连接不得有二次连接。室外安装设备必须加装防护罩/箱。现场仪表和变送器的支架、固定螺栓、连接件等均应采用不锈钢或工程塑料防止锈蚀。直接与工艺管道相连的仪表应在与管道的连接处提供隔离用的阀，在需要的地方，应在工艺过程的连接处装上隔膜式密封。所有进仪表保护箱的电缆接线调试正常后应将仪表箱进线口用线套或防火泥密封。室外安装设备必须加装防护罩/箱。所有仪表自控设备必须考虑电源及信号配置防雷、防感应电流冲击设施。</w:t>
      </w:r>
    </w:p>
    <w:p>
      <w:pPr>
        <w:pStyle w:val="2"/>
        <w:ind w:firstLine="480" w:firstLineChars="200"/>
        <w:rPr>
          <w:highlight w:val="none"/>
        </w:rPr>
      </w:pPr>
      <w:r>
        <w:rPr>
          <w:rFonts w:hint="eastAsia" w:ascii="宋体" w:hAnsi="宋体" w:cs="宋体"/>
          <w:sz w:val="24"/>
          <w:highlight w:val="none"/>
        </w:rPr>
        <w:t>为了方便日后运行，全厂水质在线分析仪表（即：余氯）应采用同一进口牌子，以保持厂内仪表一致性方便管理和维护。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1）现场仪表应适应污水现场恶</w:t>
      </w:r>
      <w:r>
        <w:rPr>
          <w:rFonts w:hint="eastAsia" w:ascii="宋体" w:hAnsi="宋体" w:cs="宋体"/>
          <w:sz w:val="24"/>
          <w:highlight w:val="none"/>
        </w:rPr>
        <w:t>劣环境，能长期连续在线测量。所有仪表均要求实用、可靠、稳定、易操作、易维护、耐腐蚀、寿命长、无公害。</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2）水质分析仪表应采用检测速度快，数据拟合性好，重复精度高，试剂用量少、维护周期长的设备。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3）水质分析仪表使用的化学试剂，需提供配方，证明成分，方便自行。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4）水质分折仪表的取样管路、冲洗管路（包括组件）应保温，以防冻裂。这些管路应该尽量短，以防所取得的水样变化。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5）现场仪表和变送器的支架、固定螺栓、连接件等均应采用不锈钢或工程塑料。直接与污水、污泥接触的仪表传感器应具有自动清洗或自动校准的功能。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6）所有现场安装仪表其外壳均有永久固定的不锈钢的标记，标记用不锈钢螺丝或铆钉来固定。该标记应刻上或模压上仪表的编号。不许用粘剂固定。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7）直接和工艺管道相连的仪表应在与管道的连接处提供隔离用的阀。在需要的地方，应在工艺过程的连接处装上隔膜式密封。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8）螺扣和法兰方式的连接应采用GB标准，如为其它标准应提供相应的管配件。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9）所有变送器应在现场提供用工业单位标定的指示仪。</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10）所有仪表的输出应为4~20mA。</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11）仪表安装支架应便于操作人员清洗维护。</w:t>
      </w:r>
    </w:p>
    <w:p>
      <w:pPr>
        <w:pStyle w:val="2"/>
        <w:spacing w:line="360" w:lineRule="auto"/>
        <w:rPr>
          <w:rFonts w:ascii="宋体" w:hAnsi="宋体" w:cs="宋体"/>
          <w:sz w:val="24"/>
          <w:highlight w:val="none"/>
        </w:rPr>
      </w:pP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2.1.2在线检测仪表参数要求</w:t>
      </w:r>
    </w:p>
    <w:p>
      <w:pPr>
        <w:widowControl/>
        <w:spacing w:line="360" w:lineRule="auto"/>
        <w:rPr>
          <w:rFonts w:ascii="宋体" w:hAnsi="宋体" w:cs="宋体"/>
          <w:sz w:val="24"/>
          <w:highlight w:val="none"/>
        </w:rPr>
      </w:pPr>
      <w:r>
        <w:rPr>
          <w:rFonts w:hint="eastAsia" w:ascii="宋体" w:hAnsi="宋体" w:cs="宋体"/>
          <w:b/>
          <w:sz w:val="24"/>
          <w:highlight w:val="none"/>
        </w:rPr>
        <w:t>（1）、出厂水</w:t>
      </w:r>
      <w:r>
        <w:rPr>
          <w:rFonts w:hint="eastAsia" w:ascii="宋体" w:hAnsi="宋体" w:cs="宋体"/>
          <w:b/>
          <w:kern w:val="0"/>
          <w:sz w:val="24"/>
          <w:highlight w:val="none"/>
        </w:rPr>
        <w:t>在线分析仪技术要求</w:t>
      </w:r>
      <w:r>
        <w:rPr>
          <w:rFonts w:hint="eastAsia" w:ascii="宋体" w:hAnsi="宋体" w:cs="宋体"/>
          <w:b/>
          <w:sz w:val="24"/>
          <w:highlight w:val="none"/>
        </w:rPr>
        <w:t>：</w:t>
      </w:r>
      <w:r>
        <w:rPr>
          <w:rFonts w:hint="eastAsia" w:ascii="宋体" w:hAnsi="宋体" w:cs="宋体"/>
          <w:sz w:val="24"/>
          <w:highlight w:val="none"/>
        </w:rPr>
        <w:t xml:space="preserve"> </w:t>
      </w:r>
    </w:p>
    <w:p>
      <w:pPr>
        <w:pStyle w:val="2"/>
        <w:spacing w:line="360" w:lineRule="auto"/>
        <w:rPr>
          <w:rFonts w:ascii="宋体" w:hAnsi="宋体" w:cs="宋体"/>
          <w:sz w:val="24"/>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(1) ★测量原理：余氯/总氯：N,N- 二乙基 -1,4 – 极化法 </w:t>
      </w:r>
    </w:p>
    <w:p>
      <w:pPr>
        <w:spacing w:line="360" w:lineRule="auto"/>
        <w:ind w:firstLine="480"/>
        <w:rPr>
          <w:rFonts w:ascii="宋体" w:hAnsi="宋体" w:cs="宋体"/>
          <w:color w:val="auto"/>
          <w:highlight w:val="none"/>
        </w:rPr>
      </w:pPr>
      <w:r>
        <w:rPr>
          <w:rFonts w:hint="eastAsia" w:ascii="宋体" w:hAnsi="宋体" w:cs="宋体"/>
          <w:color w:val="auto"/>
          <w:highlight w:val="none"/>
        </w:rPr>
        <w:t>   浊度：光源为90°散射光测量原理，Memosens数字电极；</w:t>
      </w:r>
    </w:p>
    <w:p>
      <w:pPr>
        <w:spacing w:line="360" w:lineRule="auto"/>
        <w:ind w:firstLine="480"/>
        <w:rPr>
          <w:rFonts w:ascii="宋体" w:hAnsi="宋体" w:cs="宋体"/>
          <w:color w:val="auto"/>
          <w:highlight w:val="none"/>
        </w:rPr>
      </w:pPr>
      <w:r>
        <w:rPr>
          <w:rFonts w:hint="eastAsia" w:ascii="宋体" w:hAnsi="宋体" w:cs="宋体"/>
          <w:color w:val="auto"/>
          <w:highlight w:val="none"/>
        </w:rPr>
        <w:t>   pH：极化法；</w:t>
      </w:r>
    </w:p>
    <w:p>
      <w:pPr>
        <w:spacing w:line="360" w:lineRule="auto"/>
        <w:ind w:firstLine="480"/>
        <w:rPr>
          <w:rFonts w:ascii="宋体" w:hAnsi="宋体" w:cs="宋体"/>
          <w:color w:val="auto"/>
          <w:highlight w:val="none"/>
        </w:rPr>
      </w:pPr>
      <w:r>
        <w:rPr>
          <w:rFonts w:hint="eastAsia" w:ascii="宋体" w:hAnsi="宋体" w:cs="宋体"/>
          <w:color w:val="auto"/>
          <w:highlight w:val="none"/>
        </w:rPr>
        <w:t>   温度：NTC30K</w:t>
      </w:r>
    </w:p>
    <w:p>
      <w:pPr>
        <w:spacing w:line="360" w:lineRule="auto"/>
        <w:ind w:firstLine="480"/>
        <w:rPr>
          <w:rFonts w:ascii="宋体" w:hAnsi="宋体" w:cs="宋体"/>
          <w:color w:val="auto"/>
          <w:highlight w:val="none"/>
        </w:rPr>
      </w:pPr>
      <w:r>
        <w:rPr>
          <w:rFonts w:hint="eastAsia" w:ascii="宋体" w:hAnsi="宋体" w:cs="宋体"/>
          <w:color w:val="auto"/>
          <w:highlight w:val="none"/>
        </w:rPr>
        <w:t>(2) 测量范围：  余氯/总氯：0 ~ 5 mg/L as Cl2；</w:t>
      </w:r>
    </w:p>
    <w:p>
      <w:pPr>
        <w:spacing w:line="360" w:lineRule="auto"/>
        <w:ind w:firstLine="480"/>
        <w:rPr>
          <w:rFonts w:ascii="宋体" w:hAnsi="宋体" w:cs="宋体"/>
          <w:color w:val="auto"/>
          <w:highlight w:val="none"/>
        </w:rPr>
      </w:pPr>
      <w:r>
        <w:rPr>
          <w:rFonts w:hint="eastAsia" w:ascii="宋体" w:hAnsi="宋体" w:cs="宋体"/>
          <w:color w:val="auto"/>
          <w:highlight w:val="none"/>
        </w:rPr>
        <w:t>浊度：0 ~ 20 NTU；</w:t>
      </w:r>
    </w:p>
    <w:p>
      <w:pPr>
        <w:spacing w:line="360" w:lineRule="auto"/>
        <w:ind w:firstLine="480"/>
        <w:rPr>
          <w:rFonts w:ascii="宋体" w:hAnsi="宋体" w:cs="宋体"/>
          <w:color w:val="auto"/>
          <w:highlight w:val="none"/>
        </w:rPr>
      </w:pPr>
      <w:r>
        <w:rPr>
          <w:rFonts w:hint="eastAsia" w:ascii="宋体" w:hAnsi="宋体" w:cs="宋体"/>
          <w:color w:val="auto"/>
          <w:highlight w:val="none"/>
        </w:rPr>
        <w:t>pH： 4.00 ~ 10.00 ；</w:t>
      </w:r>
    </w:p>
    <w:p>
      <w:pPr>
        <w:spacing w:line="360" w:lineRule="auto"/>
        <w:ind w:firstLine="480"/>
        <w:rPr>
          <w:rFonts w:ascii="宋体" w:hAnsi="宋体" w:cs="宋体"/>
          <w:color w:val="auto"/>
          <w:highlight w:val="none"/>
        </w:rPr>
      </w:pPr>
      <w:r>
        <w:rPr>
          <w:rFonts w:hint="eastAsia" w:ascii="宋体" w:hAnsi="宋体" w:cs="宋体"/>
          <w:color w:val="auto"/>
          <w:highlight w:val="none"/>
        </w:rPr>
        <w:t>温度：0 ℃ ~ 50  ℃；</w:t>
      </w:r>
    </w:p>
    <w:p>
      <w:pPr>
        <w:spacing w:line="360" w:lineRule="auto"/>
        <w:ind w:firstLine="480"/>
        <w:rPr>
          <w:rFonts w:ascii="宋体" w:hAnsi="宋体" w:cs="宋体"/>
          <w:color w:val="auto"/>
          <w:highlight w:val="none"/>
        </w:rPr>
      </w:pPr>
      <w:r>
        <w:rPr>
          <w:rFonts w:hint="eastAsia" w:ascii="宋体" w:hAnsi="宋体" w:cs="宋体"/>
          <w:color w:val="auto"/>
          <w:highlight w:val="none"/>
        </w:rPr>
        <w:t>(3) 准确度： 余氯/总氯：±0.5%；</w:t>
      </w:r>
    </w:p>
    <w:p>
      <w:pPr>
        <w:spacing w:line="360" w:lineRule="auto"/>
        <w:ind w:firstLine="480"/>
        <w:rPr>
          <w:rFonts w:ascii="宋体" w:hAnsi="宋体" w:cs="宋体"/>
          <w:color w:val="auto"/>
          <w:highlight w:val="none"/>
        </w:rPr>
      </w:pPr>
      <w:r>
        <w:rPr>
          <w:rFonts w:hint="eastAsia" w:ascii="宋体" w:hAnsi="宋体" w:cs="宋体"/>
          <w:color w:val="auto"/>
          <w:highlight w:val="none"/>
        </w:rPr>
        <w:t>浊度：±2%；</w:t>
      </w:r>
    </w:p>
    <w:p>
      <w:pPr>
        <w:spacing w:line="360" w:lineRule="auto"/>
        <w:ind w:firstLine="480"/>
        <w:rPr>
          <w:rFonts w:ascii="宋体" w:hAnsi="宋体" w:cs="宋体"/>
          <w:color w:val="auto"/>
          <w:highlight w:val="none"/>
        </w:rPr>
      </w:pPr>
      <w:r>
        <w:rPr>
          <w:rFonts w:hint="eastAsia" w:ascii="宋体" w:hAnsi="宋体" w:cs="宋体"/>
          <w:color w:val="auto"/>
          <w:highlight w:val="none"/>
        </w:rPr>
        <w:t>pH：±0.02；</w:t>
      </w:r>
    </w:p>
    <w:p>
      <w:pPr>
        <w:spacing w:line="360" w:lineRule="auto"/>
        <w:ind w:firstLine="480"/>
        <w:rPr>
          <w:rFonts w:ascii="宋体" w:hAnsi="宋体" w:cs="宋体"/>
          <w:color w:val="auto"/>
          <w:highlight w:val="none"/>
        </w:rPr>
      </w:pPr>
      <w:r>
        <w:rPr>
          <w:rFonts w:hint="eastAsia" w:ascii="宋体" w:hAnsi="宋体" w:cs="宋体"/>
          <w:color w:val="auto"/>
          <w:highlight w:val="none"/>
        </w:rPr>
        <w:t>温度：±0.4 ℃；</w:t>
      </w:r>
    </w:p>
    <w:p>
      <w:pPr>
        <w:spacing w:line="360" w:lineRule="auto"/>
        <w:ind w:firstLine="480"/>
        <w:rPr>
          <w:rFonts w:ascii="宋体" w:hAnsi="宋体" w:cs="宋体"/>
          <w:color w:val="auto"/>
          <w:highlight w:val="none"/>
        </w:rPr>
      </w:pPr>
      <w:r>
        <w:rPr>
          <w:rFonts w:hint="eastAsia" w:ascii="宋体" w:hAnsi="宋体" w:cs="宋体"/>
          <w:color w:val="auto"/>
          <w:highlight w:val="none"/>
        </w:rPr>
        <w:t>(4) 测量下限：余氯/总氯：0.01mg/L；</w:t>
      </w: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      浊度：0.0001 FNU；                             </w:t>
      </w:r>
    </w:p>
    <w:p>
      <w:pPr>
        <w:spacing w:line="360" w:lineRule="auto"/>
        <w:ind w:firstLine="480"/>
        <w:rPr>
          <w:rFonts w:ascii="宋体" w:hAnsi="宋体" w:cs="宋体"/>
          <w:color w:val="auto"/>
          <w:highlight w:val="none"/>
        </w:rPr>
      </w:pPr>
      <w:r>
        <w:rPr>
          <w:rFonts w:hint="eastAsia" w:ascii="宋体" w:hAnsi="宋体" w:cs="宋体"/>
          <w:color w:val="auto"/>
          <w:highlight w:val="none"/>
        </w:rPr>
        <w:t>(5) 测量间隔：余氯/ 总氯测量间隔可配置（连续模式、5 分钟、10 分钟、15 分钟、20 分</w:t>
      </w:r>
    </w:p>
    <w:p>
      <w:pPr>
        <w:spacing w:line="360" w:lineRule="auto"/>
        <w:ind w:firstLine="480"/>
        <w:rPr>
          <w:rFonts w:ascii="宋体" w:hAnsi="宋体" w:cs="宋体"/>
          <w:color w:val="auto"/>
          <w:highlight w:val="none"/>
        </w:rPr>
      </w:pPr>
      <w:r>
        <w:rPr>
          <w:rFonts w:hint="eastAsia" w:ascii="宋体" w:hAnsi="宋体" w:cs="宋体"/>
          <w:color w:val="auto"/>
          <w:highlight w:val="none"/>
        </w:rPr>
        <w:t>钟、30 分钟）；</w:t>
      </w:r>
    </w:p>
    <w:p>
      <w:pPr>
        <w:spacing w:line="360" w:lineRule="auto"/>
        <w:ind w:firstLine="480"/>
        <w:rPr>
          <w:rFonts w:ascii="宋体" w:hAnsi="宋体" w:cs="宋体"/>
          <w:color w:val="auto"/>
          <w:highlight w:val="none"/>
        </w:rPr>
      </w:pPr>
      <w:r>
        <w:rPr>
          <w:rFonts w:hint="eastAsia" w:ascii="宋体" w:hAnsi="宋体" w:cs="宋体"/>
          <w:color w:val="auto"/>
          <w:highlight w:val="none"/>
        </w:rPr>
        <w:t>浊度/pH/温度连续测量</w:t>
      </w:r>
    </w:p>
    <w:p>
      <w:pPr>
        <w:spacing w:line="360" w:lineRule="auto"/>
        <w:ind w:firstLine="480"/>
        <w:rPr>
          <w:rFonts w:ascii="宋体" w:hAnsi="宋体" w:cs="宋体"/>
          <w:color w:val="auto"/>
          <w:highlight w:val="none"/>
        </w:rPr>
      </w:pPr>
      <w:r>
        <w:rPr>
          <w:rFonts w:hint="eastAsia" w:ascii="宋体" w:hAnsi="宋体" w:cs="宋体"/>
          <w:color w:val="auto"/>
          <w:highlight w:val="none"/>
        </w:rPr>
        <w:t>(6) 重复性：余氯/总氯：0.2% 或  0.01 mg/L as Cl2（取较大值）；</w:t>
      </w:r>
    </w:p>
    <w:p>
      <w:pPr>
        <w:spacing w:line="360" w:lineRule="auto"/>
        <w:ind w:firstLine="480"/>
        <w:rPr>
          <w:rFonts w:ascii="宋体" w:hAnsi="宋体" w:cs="宋体"/>
          <w:color w:val="auto"/>
          <w:highlight w:val="none"/>
        </w:rPr>
      </w:pPr>
      <w:r>
        <w:rPr>
          <w:rFonts w:hint="eastAsia" w:ascii="宋体" w:hAnsi="宋体" w:cs="宋体"/>
          <w:color w:val="auto"/>
          <w:highlight w:val="none"/>
        </w:rPr>
        <w:t>    浊度：0.2 % 或 0.006 NTU (取较大值；基于25 ℃ 下的 Formazin 一级标液)；</w:t>
      </w:r>
    </w:p>
    <w:p>
      <w:pPr>
        <w:spacing w:line="360" w:lineRule="auto"/>
        <w:ind w:firstLine="480"/>
        <w:rPr>
          <w:rFonts w:ascii="宋体" w:hAnsi="宋体" w:cs="宋体"/>
          <w:color w:val="auto"/>
          <w:highlight w:val="none"/>
        </w:rPr>
      </w:pPr>
      <w:r>
        <w:rPr>
          <w:rFonts w:hint="eastAsia" w:ascii="宋体" w:hAnsi="宋体" w:cs="宋体"/>
          <w:color w:val="auto"/>
          <w:highlight w:val="none"/>
        </w:rPr>
        <w:t>    pH：0.01 （CMC 认证 0.01 级）；</w:t>
      </w:r>
    </w:p>
    <w:p>
      <w:pPr>
        <w:spacing w:line="360" w:lineRule="auto"/>
        <w:ind w:firstLine="480"/>
        <w:rPr>
          <w:rFonts w:ascii="宋体" w:hAnsi="宋体" w:cs="宋体"/>
          <w:color w:val="auto"/>
          <w:highlight w:val="none"/>
        </w:rPr>
      </w:pPr>
      <w:r>
        <w:rPr>
          <w:rFonts w:hint="eastAsia" w:ascii="宋体" w:hAnsi="宋体" w:cs="宋体"/>
          <w:color w:val="auto"/>
          <w:highlight w:val="none"/>
        </w:rPr>
        <w:t>    温度：0.2  ℃</w:t>
      </w:r>
    </w:p>
    <w:p>
      <w:pPr>
        <w:spacing w:line="360" w:lineRule="auto"/>
        <w:ind w:firstLine="480"/>
        <w:rPr>
          <w:rFonts w:ascii="宋体" w:hAnsi="宋体" w:cs="宋体"/>
          <w:color w:val="auto"/>
          <w:highlight w:val="none"/>
        </w:rPr>
      </w:pPr>
      <w:r>
        <w:rPr>
          <w:rFonts w:hint="eastAsia" w:ascii="宋体" w:hAnsi="宋体" w:cs="宋体"/>
          <w:color w:val="auto"/>
          <w:highlight w:val="none"/>
        </w:rPr>
        <w:t>(7) 校准方法：余氯/总氯校准：出厂已经校准，使用默认曲线；</w:t>
      </w: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 浊度校准：Formazin两点校准、2至6点定制校准；支持固体模块校准，无需福尔马阱</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pH校准：单点校准、两点校准、三点校准；                    </w:t>
      </w:r>
    </w:p>
    <w:p>
      <w:pPr>
        <w:spacing w:line="360" w:lineRule="auto"/>
        <w:ind w:firstLine="480"/>
        <w:rPr>
          <w:rFonts w:ascii="宋体" w:hAnsi="宋体" w:cs="宋体"/>
          <w:color w:val="auto"/>
          <w:highlight w:val="none"/>
        </w:rPr>
      </w:pPr>
      <w:r>
        <w:rPr>
          <w:rFonts w:hint="eastAsia" w:ascii="宋体" w:hAnsi="宋体" w:cs="宋体"/>
          <w:color w:val="auto"/>
          <w:highlight w:val="none"/>
        </w:rPr>
        <w:t>(8) 样品要求：仪器进样流路一分为二，每一路进样流量可以分别调节；</w:t>
      </w: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 氯模块流量调节范围：120 – 180 mL/min ；</w:t>
      </w:r>
    </w:p>
    <w:p>
      <w:pPr>
        <w:spacing w:line="360" w:lineRule="auto"/>
        <w:ind w:firstLine="480"/>
        <w:rPr>
          <w:rFonts w:ascii="宋体" w:hAnsi="宋体" w:cs="宋体"/>
          <w:color w:val="auto"/>
          <w:highlight w:val="none"/>
        </w:rPr>
      </w:pPr>
      <w:r>
        <w:rPr>
          <w:rFonts w:hint="eastAsia" w:ascii="宋体" w:hAnsi="宋体" w:cs="宋体"/>
          <w:color w:val="auto"/>
          <w:highlight w:val="none"/>
        </w:rPr>
        <w:t>浊度（极化法）模块流量调节范围：150 – 450 mL/min</w:t>
      </w:r>
    </w:p>
    <w:p>
      <w:pPr>
        <w:spacing w:line="360" w:lineRule="auto"/>
        <w:ind w:firstLine="480"/>
        <w:rPr>
          <w:rFonts w:ascii="宋体" w:hAnsi="宋体" w:cs="宋体"/>
          <w:color w:val="auto"/>
          <w:highlight w:val="none"/>
        </w:rPr>
      </w:pPr>
      <w:r>
        <w:rPr>
          <w:rFonts w:hint="eastAsia" w:ascii="宋体" w:hAnsi="宋体" w:cs="宋体"/>
          <w:color w:val="auto"/>
          <w:highlight w:val="none"/>
        </w:rPr>
        <w:t>(9) 样品温度范围：4 ℃ - 40 ℃</w:t>
      </w:r>
    </w:p>
    <w:p>
      <w:pPr>
        <w:spacing w:line="360" w:lineRule="auto"/>
        <w:ind w:firstLine="480"/>
        <w:rPr>
          <w:rFonts w:ascii="宋体" w:hAnsi="宋体" w:cs="宋体"/>
          <w:color w:val="auto"/>
          <w:highlight w:val="none"/>
        </w:rPr>
      </w:pPr>
      <w:r>
        <w:rPr>
          <w:rFonts w:hint="eastAsia" w:ascii="宋体" w:hAnsi="宋体" w:cs="宋体"/>
          <w:color w:val="auto"/>
          <w:highlight w:val="none"/>
        </w:rPr>
        <w:t>(10)     入口压力：1.0 bar ~ 5.0 bar</w:t>
      </w:r>
    </w:p>
    <w:p>
      <w:pPr>
        <w:spacing w:line="360" w:lineRule="auto"/>
        <w:ind w:firstLine="480"/>
        <w:rPr>
          <w:rFonts w:ascii="宋体" w:hAnsi="宋体" w:cs="宋体"/>
          <w:color w:val="auto"/>
          <w:highlight w:val="none"/>
        </w:rPr>
      </w:pPr>
      <w:r>
        <w:rPr>
          <w:rFonts w:hint="eastAsia" w:ascii="宋体" w:hAnsi="宋体" w:cs="宋体"/>
          <w:color w:val="auto"/>
          <w:highlight w:val="none"/>
        </w:rPr>
        <w:t>(11)     工作温度：0 ℃ - 45 ℃</w:t>
      </w:r>
    </w:p>
    <w:p>
      <w:pPr>
        <w:spacing w:line="360" w:lineRule="auto"/>
        <w:ind w:firstLine="480"/>
        <w:rPr>
          <w:rFonts w:ascii="宋体" w:hAnsi="宋体" w:cs="宋体"/>
          <w:color w:val="auto"/>
          <w:highlight w:val="none"/>
        </w:rPr>
      </w:pPr>
      <w:r>
        <w:rPr>
          <w:rFonts w:hint="eastAsia" w:ascii="宋体" w:hAnsi="宋体" w:cs="宋体"/>
          <w:color w:val="auto"/>
          <w:highlight w:val="none"/>
        </w:rPr>
        <w:t>(12)     相对湿度：5 % ~ 95 %（无冷凝）</w:t>
      </w:r>
    </w:p>
    <w:p>
      <w:pPr>
        <w:spacing w:line="360" w:lineRule="auto"/>
        <w:ind w:firstLine="480"/>
        <w:rPr>
          <w:rFonts w:ascii="宋体" w:hAnsi="宋体" w:cs="宋体"/>
          <w:color w:val="auto"/>
          <w:highlight w:val="none"/>
        </w:rPr>
      </w:pPr>
      <w:r>
        <w:rPr>
          <w:rFonts w:hint="eastAsia" w:ascii="宋体" w:hAnsi="宋体" w:cs="宋体"/>
          <w:color w:val="auto"/>
          <w:highlight w:val="none"/>
        </w:rPr>
        <w:t>(13)     支持中文操作界面，及更好的历史数据显示界面；语言：中文、英文</w:t>
      </w:r>
    </w:p>
    <w:p>
      <w:pPr>
        <w:spacing w:line="360" w:lineRule="auto"/>
        <w:ind w:firstLine="480"/>
        <w:rPr>
          <w:rFonts w:ascii="宋体" w:hAnsi="宋体" w:cs="宋体"/>
          <w:color w:val="auto"/>
          <w:highlight w:val="none"/>
        </w:rPr>
      </w:pPr>
      <w:r>
        <w:rPr>
          <w:rFonts w:hint="eastAsia" w:ascii="宋体" w:hAnsi="宋体" w:cs="宋体"/>
          <w:color w:val="auto"/>
          <w:highlight w:val="none"/>
        </w:rPr>
        <w:t>(14)     数字输出：1路RS485接口（支持MODBUS协议，另一个支持Hach sc 协议）+1路4-20MA接口</w:t>
      </w:r>
    </w:p>
    <w:p>
      <w:pPr>
        <w:spacing w:line="360" w:lineRule="auto"/>
        <w:ind w:firstLine="480"/>
        <w:rPr>
          <w:rFonts w:ascii="宋体" w:hAnsi="宋体" w:cs="宋体"/>
          <w:color w:val="auto"/>
          <w:highlight w:val="none"/>
        </w:rPr>
      </w:pPr>
      <w:r>
        <w:rPr>
          <w:rFonts w:hint="eastAsia" w:ascii="宋体" w:hAnsi="宋体" w:cs="宋体"/>
          <w:color w:val="auto"/>
          <w:highlight w:val="none"/>
        </w:rPr>
        <w:t>(15)     防护等级：传感器IP68 变送器IP65</w:t>
      </w:r>
    </w:p>
    <w:p>
      <w:pPr>
        <w:spacing w:line="360" w:lineRule="auto"/>
        <w:ind w:firstLine="480"/>
        <w:rPr>
          <w:rFonts w:ascii="宋体" w:hAnsi="宋体" w:cs="宋体"/>
          <w:color w:val="auto"/>
          <w:highlight w:val="none"/>
        </w:rPr>
      </w:pPr>
      <w:r>
        <w:rPr>
          <w:rFonts w:hint="eastAsia" w:ascii="宋体" w:hAnsi="宋体" w:cs="宋体"/>
          <w:color w:val="auto"/>
          <w:highlight w:val="none"/>
        </w:rPr>
        <w:t>电源供应：220VAC，50Hz  断电自动储存系统数据，Memosens智能数字电极，电极自带智能芯片并可存储日常的标定数据，电极与专用电缆间无金属触点连接，传输数字信号并可远程标定</w:t>
      </w:r>
    </w:p>
    <w:p>
      <w:pPr>
        <w:widowControl/>
        <w:spacing w:line="360" w:lineRule="auto"/>
        <w:rPr>
          <w:rFonts w:ascii="宋体" w:hAnsi="宋体" w:cs="宋体"/>
          <w:sz w:val="24"/>
          <w:highlight w:val="none"/>
        </w:rPr>
      </w:pPr>
      <w:r>
        <w:rPr>
          <w:rFonts w:hint="eastAsia" w:ascii="宋体" w:hAnsi="宋体" w:cs="宋体"/>
          <w:b/>
          <w:sz w:val="24"/>
          <w:highlight w:val="none"/>
        </w:rPr>
        <w:t>（2）、一体式超声波液位计：</w:t>
      </w:r>
      <w:r>
        <w:rPr>
          <w:rFonts w:hint="eastAsia" w:ascii="宋体" w:hAnsi="宋体" w:cs="宋体"/>
          <w:sz w:val="24"/>
          <w:highlight w:val="none"/>
        </w:rPr>
        <w:t xml:space="preserve"> </w:t>
      </w:r>
    </w:p>
    <w:p>
      <w:pPr>
        <w:spacing w:line="360" w:lineRule="auto"/>
        <w:ind w:firstLine="480"/>
        <w:rPr>
          <w:rFonts w:ascii="宋体" w:hAnsi="宋体" w:cs="宋体"/>
          <w:sz w:val="24"/>
          <w:highlight w:val="none"/>
        </w:rPr>
      </w:pPr>
      <w:r>
        <w:rPr>
          <w:rFonts w:hint="eastAsia" w:ascii="宋体" w:hAnsi="宋体" w:cs="宋体"/>
          <w:sz w:val="24"/>
          <w:highlight w:val="none"/>
        </w:rPr>
        <w:t>用途：用于测量、指示和传送液位差信号</w:t>
      </w:r>
    </w:p>
    <w:p>
      <w:pPr>
        <w:spacing w:line="360" w:lineRule="auto"/>
        <w:ind w:firstLine="480"/>
        <w:rPr>
          <w:rFonts w:ascii="宋体" w:hAnsi="宋体" w:cs="宋体"/>
          <w:sz w:val="24"/>
          <w:highlight w:val="none"/>
        </w:rPr>
      </w:pPr>
      <w:r>
        <w:rPr>
          <w:rFonts w:hint="eastAsia" w:ascii="宋体" w:hAnsi="宋体" w:cs="宋体"/>
          <w:sz w:val="24"/>
          <w:highlight w:val="none"/>
        </w:rPr>
        <w:t>测量原理：超声波原理</w:t>
      </w:r>
    </w:p>
    <w:p>
      <w:pPr>
        <w:spacing w:line="360" w:lineRule="auto"/>
        <w:ind w:firstLine="480"/>
        <w:rPr>
          <w:rFonts w:ascii="宋体" w:hAnsi="宋体" w:cs="宋体"/>
          <w:sz w:val="24"/>
          <w:highlight w:val="none"/>
        </w:rPr>
      </w:pPr>
      <w:r>
        <w:rPr>
          <w:rFonts w:hint="eastAsia" w:ascii="宋体" w:hAnsi="宋体" w:cs="宋体"/>
          <w:sz w:val="24"/>
          <w:highlight w:val="none"/>
        </w:rPr>
        <w:t>测量范围：0-6m</w:t>
      </w:r>
    </w:p>
    <w:p>
      <w:pPr>
        <w:spacing w:line="360" w:lineRule="auto"/>
        <w:ind w:firstLine="480"/>
        <w:rPr>
          <w:rFonts w:ascii="宋体" w:hAnsi="宋体" w:cs="宋体"/>
          <w:sz w:val="24"/>
          <w:highlight w:val="none"/>
        </w:rPr>
      </w:pPr>
      <w:r>
        <w:rPr>
          <w:rFonts w:hint="eastAsia" w:ascii="宋体" w:hAnsi="宋体" w:cs="宋体"/>
          <w:sz w:val="24"/>
          <w:highlight w:val="none"/>
        </w:rPr>
        <w:t>电源：DC24V</w:t>
      </w:r>
    </w:p>
    <w:p>
      <w:pPr>
        <w:spacing w:line="360" w:lineRule="auto"/>
        <w:ind w:firstLine="480"/>
        <w:rPr>
          <w:rFonts w:ascii="宋体" w:hAnsi="宋体" w:cs="宋体"/>
          <w:sz w:val="24"/>
          <w:highlight w:val="none"/>
        </w:rPr>
      </w:pPr>
      <w:r>
        <w:rPr>
          <w:rFonts w:hint="eastAsia" w:ascii="宋体" w:hAnsi="宋体" w:cs="宋体"/>
          <w:sz w:val="24"/>
          <w:highlight w:val="none"/>
        </w:rPr>
        <w:t>盲区：0.25米</w:t>
      </w:r>
    </w:p>
    <w:p>
      <w:pPr>
        <w:spacing w:line="360" w:lineRule="auto"/>
        <w:ind w:firstLine="480"/>
        <w:rPr>
          <w:rFonts w:ascii="宋体" w:hAnsi="宋体" w:cs="宋体"/>
          <w:sz w:val="24"/>
          <w:highlight w:val="none"/>
        </w:rPr>
      </w:pPr>
      <w:r>
        <w:rPr>
          <w:rFonts w:hint="eastAsia" w:ascii="宋体" w:hAnsi="宋体" w:cs="宋体"/>
          <w:sz w:val="24"/>
          <w:highlight w:val="none"/>
        </w:rPr>
        <w:t>波束角：10°</w:t>
      </w:r>
    </w:p>
    <w:p>
      <w:pPr>
        <w:spacing w:line="360" w:lineRule="auto"/>
        <w:ind w:firstLine="480"/>
        <w:rPr>
          <w:rFonts w:ascii="宋体" w:hAnsi="宋体" w:cs="宋体"/>
          <w:sz w:val="24"/>
          <w:highlight w:val="none"/>
        </w:rPr>
      </w:pPr>
      <w:r>
        <w:rPr>
          <w:rFonts w:hint="eastAsia" w:ascii="宋体" w:hAnsi="宋体" w:cs="宋体"/>
          <w:sz w:val="24"/>
          <w:highlight w:val="none"/>
        </w:rPr>
        <w:t>频率：54 kHz</w:t>
      </w:r>
    </w:p>
    <w:p>
      <w:pPr>
        <w:spacing w:line="360" w:lineRule="auto"/>
        <w:ind w:firstLine="480"/>
        <w:rPr>
          <w:rFonts w:ascii="宋体" w:hAnsi="宋体" w:cs="宋体"/>
          <w:sz w:val="24"/>
          <w:highlight w:val="none"/>
        </w:rPr>
      </w:pPr>
      <w:r>
        <w:rPr>
          <w:rFonts w:hint="eastAsia" w:ascii="宋体" w:hAnsi="宋体" w:cs="宋体"/>
          <w:sz w:val="24"/>
          <w:highlight w:val="none"/>
        </w:rPr>
        <w:t>环境温度：-40℃-+80℃</w:t>
      </w:r>
    </w:p>
    <w:p>
      <w:pPr>
        <w:spacing w:line="360" w:lineRule="auto"/>
        <w:ind w:firstLine="480"/>
        <w:rPr>
          <w:rFonts w:ascii="宋体" w:hAnsi="宋体" w:cs="宋体"/>
          <w:sz w:val="24"/>
          <w:highlight w:val="none"/>
        </w:rPr>
      </w:pPr>
      <w:r>
        <w:rPr>
          <w:rFonts w:hint="eastAsia" w:ascii="宋体" w:hAnsi="宋体" w:cs="宋体"/>
          <w:sz w:val="24"/>
          <w:highlight w:val="none"/>
        </w:rPr>
        <w:t xml:space="preserve">分辨率： 3mm </w:t>
      </w:r>
    </w:p>
    <w:p>
      <w:pPr>
        <w:spacing w:line="360" w:lineRule="auto"/>
        <w:ind w:firstLine="480"/>
        <w:rPr>
          <w:rFonts w:ascii="宋体" w:hAnsi="宋体" w:cs="宋体"/>
          <w:sz w:val="24"/>
          <w:highlight w:val="none"/>
        </w:rPr>
      </w:pPr>
      <w:r>
        <w:rPr>
          <w:rFonts w:hint="eastAsia" w:ascii="宋体" w:hAnsi="宋体" w:cs="宋体"/>
          <w:sz w:val="24"/>
          <w:highlight w:val="none"/>
        </w:rPr>
        <w:t>显示：LCD发光显示，并具有现场操作功能</w:t>
      </w:r>
    </w:p>
    <w:p>
      <w:pPr>
        <w:spacing w:line="360" w:lineRule="auto"/>
        <w:ind w:firstLine="480"/>
        <w:rPr>
          <w:rFonts w:ascii="宋体" w:hAnsi="宋体" w:cs="宋体"/>
          <w:sz w:val="24"/>
          <w:highlight w:val="none"/>
        </w:rPr>
      </w:pPr>
      <w:r>
        <w:rPr>
          <w:rFonts w:hint="eastAsia" w:ascii="宋体" w:hAnsi="宋体" w:cs="宋体"/>
          <w:sz w:val="24"/>
          <w:highlight w:val="none"/>
        </w:rPr>
        <w:t>★输出信号：二线制4～20mA，支持HART协议；测量精度：0.15％；温度补偿：内置；调试方式：配置红外手操器，无需开盖，易于调试；（提供产品彩页或官网资料截图）</w:t>
      </w:r>
    </w:p>
    <w:p>
      <w:pPr>
        <w:spacing w:line="360" w:lineRule="auto"/>
        <w:ind w:firstLine="480"/>
        <w:rPr>
          <w:rFonts w:ascii="宋体" w:hAnsi="宋体" w:cs="宋体"/>
          <w:sz w:val="24"/>
          <w:highlight w:val="none"/>
        </w:rPr>
      </w:pPr>
      <w:r>
        <w:rPr>
          <w:rFonts w:hint="eastAsia" w:ascii="宋体" w:hAnsi="宋体" w:cs="宋体"/>
          <w:sz w:val="24"/>
          <w:highlight w:val="none"/>
        </w:rPr>
        <w:t>安装方式：螺纹直接安装</w:t>
      </w:r>
    </w:p>
    <w:p>
      <w:pPr>
        <w:spacing w:line="360" w:lineRule="auto"/>
        <w:ind w:firstLine="480"/>
        <w:rPr>
          <w:rFonts w:ascii="宋体" w:hAnsi="宋体" w:cs="宋体"/>
          <w:sz w:val="24"/>
          <w:highlight w:val="none"/>
        </w:rPr>
      </w:pPr>
      <w:r>
        <w:rPr>
          <w:rFonts w:hint="eastAsia" w:ascii="宋体" w:hAnsi="宋体" w:cs="宋体"/>
          <w:sz w:val="24"/>
          <w:highlight w:val="none"/>
        </w:rPr>
        <w:t>防护等级：IP68</w:t>
      </w:r>
    </w:p>
    <w:p>
      <w:pPr>
        <w:pStyle w:val="2"/>
        <w:spacing w:line="360" w:lineRule="auto"/>
        <w:rPr>
          <w:rFonts w:ascii="宋体" w:hAnsi="宋体" w:cs="宋体"/>
          <w:sz w:val="24"/>
          <w:highlight w:val="none"/>
        </w:rPr>
      </w:pPr>
      <w:r>
        <w:rPr>
          <w:rFonts w:hint="eastAsia" w:ascii="宋体" w:hAnsi="宋体" w:cs="宋体"/>
          <w:sz w:val="24"/>
          <w:highlight w:val="none"/>
        </w:rPr>
        <w:t xml:space="preserve">      </w:t>
      </w:r>
    </w:p>
    <w:p>
      <w:pPr>
        <w:widowControl/>
        <w:spacing w:line="360" w:lineRule="auto"/>
        <w:rPr>
          <w:rFonts w:ascii="宋体" w:hAnsi="宋体" w:cs="宋体"/>
          <w:sz w:val="24"/>
          <w:highlight w:val="none"/>
        </w:rPr>
      </w:pPr>
      <w:r>
        <w:rPr>
          <w:rFonts w:hint="eastAsia" w:ascii="宋体" w:hAnsi="宋体" w:cs="宋体"/>
          <w:b/>
          <w:sz w:val="24"/>
          <w:highlight w:val="none"/>
        </w:rPr>
        <w:t>（3）、电磁流量计</w:t>
      </w:r>
      <w:r>
        <w:rPr>
          <w:rFonts w:hint="eastAsia" w:ascii="宋体" w:hAnsi="宋体" w:cs="宋体"/>
          <w:b/>
          <w:sz w:val="24"/>
          <w:highlight w:val="none"/>
          <w:lang w:val="en-US" w:eastAsia="zh-CN"/>
        </w:rPr>
        <w:t>(进口品牌)</w:t>
      </w:r>
      <w:r>
        <w:rPr>
          <w:rFonts w:hint="eastAsia" w:ascii="宋体" w:hAnsi="宋体" w:cs="宋体"/>
          <w:b/>
          <w:sz w:val="24"/>
          <w:highlight w:val="none"/>
        </w:rPr>
        <w:t>：</w:t>
      </w:r>
    </w:p>
    <w:p>
      <w:pPr>
        <w:spacing w:line="360" w:lineRule="auto"/>
        <w:ind w:firstLine="480"/>
        <w:rPr>
          <w:rFonts w:ascii="宋体" w:hAnsi="宋体" w:cs="宋体"/>
          <w:sz w:val="24"/>
          <w:highlight w:val="none"/>
        </w:rPr>
      </w:pPr>
      <w:r>
        <w:rPr>
          <w:rFonts w:hint="eastAsia" w:ascii="宋体" w:hAnsi="宋体" w:cs="宋体"/>
          <w:sz w:val="24"/>
          <w:highlight w:val="none"/>
        </w:rPr>
        <w:t>所有电磁流量计应为满足如下条件：</w:t>
      </w:r>
    </w:p>
    <w:p>
      <w:pPr>
        <w:spacing w:line="360" w:lineRule="auto"/>
        <w:ind w:firstLine="480"/>
        <w:rPr>
          <w:rFonts w:ascii="宋体" w:hAnsi="宋体" w:cs="宋体"/>
          <w:sz w:val="24"/>
          <w:highlight w:val="none"/>
        </w:rPr>
      </w:pPr>
      <w:r>
        <w:rPr>
          <w:rFonts w:hint="eastAsia" w:ascii="宋体" w:hAnsi="宋体" w:cs="宋体"/>
          <w:sz w:val="24"/>
          <w:highlight w:val="none"/>
        </w:rPr>
        <w:t>安装形式：传感器与变送器分体安装；</w:t>
      </w:r>
    </w:p>
    <w:p>
      <w:pPr>
        <w:spacing w:line="360" w:lineRule="auto"/>
        <w:ind w:firstLine="480"/>
        <w:rPr>
          <w:rFonts w:ascii="宋体" w:hAnsi="宋体" w:cs="宋体"/>
          <w:sz w:val="24"/>
          <w:highlight w:val="none"/>
        </w:rPr>
      </w:pPr>
      <w:r>
        <w:rPr>
          <w:rFonts w:hint="eastAsia" w:ascii="宋体" w:hAnsi="宋体" w:cs="宋体"/>
          <w:sz w:val="24"/>
          <w:highlight w:val="none"/>
        </w:rPr>
        <w:t>现场显示瞬时流量和累计流量；</w:t>
      </w:r>
    </w:p>
    <w:p>
      <w:pPr>
        <w:spacing w:line="360" w:lineRule="auto"/>
        <w:ind w:firstLine="480"/>
        <w:rPr>
          <w:rFonts w:ascii="宋体" w:hAnsi="宋体" w:cs="宋体"/>
          <w:sz w:val="24"/>
          <w:highlight w:val="none"/>
        </w:rPr>
      </w:pPr>
      <w:r>
        <w:rPr>
          <w:rFonts w:hint="eastAsia" w:ascii="宋体" w:hAnsi="宋体" w:cs="宋体"/>
          <w:sz w:val="24"/>
          <w:highlight w:val="none"/>
        </w:rPr>
        <w:t>①用途</w:t>
      </w:r>
    </w:p>
    <w:p>
      <w:pPr>
        <w:spacing w:line="360" w:lineRule="auto"/>
        <w:ind w:firstLine="480"/>
        <w:rPr>
          <w:rFonts w:ascii="宋体" w:hAnsi="宋体" w:cs="宋体"/>
          <w:sz w:val="24"/>
          <w:highlight w:val="none"/>
        </w:rPr>
      </w:pPr>
      <w:r>
        <w:rPr>
          <w:rFonts w:hint="eastAsia" w:ascii="宋体" w:hAnsi="宋体" w:cs="宋体"/>
          <w:sz w:val="24"/>
          <w:highlight w:val="none"/>
        </w:rPr>
        <w:t>测量、指示和传送管道内液体的流量</w:t>
      </w:r>
    </w:p>
    <w:p>
      <w:pPr>
        <w:spacing w:line="360" w:lineRule="auto"/>
        <w:ind w:firstLine="480"/>
        <w:rPr>
          <w:rFonts w:ascii="宋体" w:hAnsi="宋体" w:cs="宋体"/>
          <w:sz w:val="24"/>
          <w:highlight w:val="none"/>
        </w:rPr>
      </w:pPr>
      <w:r>
        <w:rPr>
          <w:rFonts w:hint="eastAsia" w:ascii="宋体" w:hAnsi="宋体" w:cs="宋体"/>
          <w:sz w:val="24"/>
          <w:highlight w:val="none"/>
        </w:rPr>
        <w:t>②组成</w:t>
      </w:r>
    </w:p>
    <w:p>
      <w:pPr>
        <w:spacing w:line="360" w:lineRule="auto"/>
        <w:ind w:firstLine="480"/>
        <w:rPr>
          <w:rFonts w:ascii="宋体" w:hAnsi="宋体" w:cs="宋体"/>
          <w:sz w:val="24"/>
          <w:highlight w:val="none"/>
        </w:rPr>
      </w:pPr>
      <w:r>
        <w:rPr>
          <w:rFonts w:hint="eastAsia" w:ascii="宋体" w:hAnsi="宋体" w:cs="宋体"/>
          <w:sz w:val="24"/>
          <w:highlight w:val="none"/>
        </w:rPr>
        <w:t>传感器，变送器，电缆及安装附件</w:t>
      </w:r>
    </w:p>
    <w:p>
      <w:pPr>
        <w:spacing w:line="360" w:lineRule="auto"/>
        <w:ind w:firstLine="480"/>
        <w:rPr>
          <w:rFonts w:ascii="宋体" w:hAnsi="宋体" w:cs="宋体"/>
          <w:sz w:val="24"/>
          <w:highlight w:val="none"/>
        </w:rPr>
      </w:pPr>
      <w:r>
        <w:rPr>
          <w:rFonts w:hint="eastAsia" w:ascii="宋体" w:hAnsi="宋体" w:cs="宋体"/>
          <w:sz w:val="24"/>
          <w:highlight w:val="none"/>
        </w:rPr>
        <w:t>③传感器</w:t>
      </w:r>
    </w:p>
    <w:p>
      <w:pPr>
        <w:spacing w:line="360" w:lineRule="auto"/>
        <w:ind w:firstLine="480"/>
        <w:rPr>
          <w:rFonts w:ascii="宋体" w:hAnsi="宋体" w:cs="宋体"/>
          <w:sz w:val="24"/>
          <w:highlight w:val="none"/>
        </w:rPr>
      </w:pPr>
      <w:r>
        <w:rPr>
          <w:rFonts w:hint="eastAsia" w:ascii="宋体" w:hAnsi="宋体" w:cs="宋体"/>
          <w:sz w:val="24"/>
          <w:highlight w:val="none"/>
        </w:rPr>
        <w:t xml:space="preserve">压力等级：PN10 </w:t>
      </w:r>
    </w:p>
    <w:p>
      <w:pPr>
        <w:spacing w:line="360" w:lineRule="auto"/>
        <w:ind w:firstLine="480"/>
        <w:rPr>
          <w:rFonts w:ascii="宋体" w:hAnsi="宋体" w:cs="宋体"/>
          <w:sz w:val="24"/>
          <w:highlight w:val="none"/>
        </w:rPr>
      </w:pPr>
      <w:r>
        <w:rPr>
          <w:rFonts w:hint="eastAsia" w:ascii="宋体" w:hAnsi="宋体" w:cs="宋体"/>
          <w:sz w:val="24"/>
          <w:highlight w:val="none"/>
        </w:rPr>
        <w:t>测量范围：根据设计需求</w:t>
      </w:r>
    </w:p>
    <w:p>
      <w:pPr>
        <w:spacing w:line="360" w:lineRule="auto"/>
        <w:ind w:firstLine="480"/>
        <w:rPr>
          <w:rFonts w:ascii="宋体" w:hAnsi="宋体" w:cs="宋体"/>
          <w:sz w:val="24"/>
          <w:highlight w:val="none"/>
        </w:rPr>
      </w:pPr>
      <w:r>
        <w:rPr>
          <w:rFonts w:hint="eastAsia" w:ascii="宋体" w:hAnsi="宋体" w:cs="宋体"/>
          <w:sz w:val="24"/>
          <w:highlight w:val="none"/>
        </w:rPr>
        <w:t>连接形式：EN 1092-1 法兰</w:t>
      </w:r>
    </w:p>
    <w:p>
      <w:pPr>
        <w:spacing w:line="360" w:lineRule="auto"/>
        <w:ind w:firstLine="480"/>
        <w:rPr>
          <w:rFonts w:ascii="宋体" w:hAnsi="宋体" w:cs="宋体"/>
          <w:sz w:val="24"/>
          <w:highlight w:val="none"/>
        </w:rPr>
      </w:pPr>
      <w:r>
        <w:rPr>
          <w:rFonts w:hint="eastAsia" w:ascii="宋体" w:hAnsi="宋体" w:cs="宋体"/>
          <w:sz w:val="24"/>
          <w:highlight w:val="none"/>
        </w:rPr>
        <w:t>嵌入长度符合ISO 13359标准</w:t>
      </w:r>
    </w:p>
    <w:p>
      <w:pPr>
        <w:spacing w:line="360" w:lineRule="auto"/>
        <w:ind w:firstLine="480"/>
        <w:rPr>
          <w:rFonts w:ascii="宋体" w:hAnsi="宋体" w:cs="宋体"/>
          <w:sz w:val="24"/>
          <w:highlight w:val="none"/>
        </w:rPr>
      </w:pPr>
      <w:r>
        <w:rPr>
          <w:rFonts w:hint="eastAsia" w:ascii="宋体" w:hAnsi="宋体" w:cs="宋体"/>
          <w:sz w:val="24"/>
          <w:highlight w:val="none"/>
        </w:rPr>
        <w:t>衬里材料：硬橡胶（其中加药流量计内衬四氟）</w:t>
      </w:r>
    </w:p>
    <w:p>
      <w:pPr>
        <w:spacing w:line="360" w:lineRule="auto"/>
        <w:ind w:firstLine="480"/>
        <w:rPr>
          <w:rFonts w:ascii="宋体" w:hAnsi="宋体" w:cs="宋体"/>
          <w:sz w:val="24"/>
          <w:highlight w:val="none"/>
        </w:rPr>
      </w:pPr>
      <w:r>
        <w:rPr>
          <w:rFonts w:hint="eastAsia" w:ascii="宋体" w:hAnsi="宋体" w:cs="宋体"/>
          <w:sz w:val="24"/>
          <w:highlight w:val="none"/>
        </w:rPr>
        <w:t>电极材料：316Ti</w:t>
      </w:r>
    </w:p>
    <w:p>
      <w:pPr>
        <w:spacing w:line="360" w:lineRule="auto"/>
        <w:ind w:firstLine="480"/>
        <w:rPr>
          <w:rFonts w:ascii="宋体" w:hAnsi="宋体" w:cs="宋体"/>
          <w:sz w:val="24"/>
          <w:highlight w:val="none"/>
        </w:rPr>
      </w:pPr>
      <w:r>
        <w:rPr>
          <w:rFonts w:hint="eastAsia" w:ascii="宋体" w:hAnsi="宋体" w:cs="宋体"/>
          <w:sz w:val="24"/>
          <w:highlight w:val="none"/>
        </w:rPr>
        <w:t>防护等级： IP68防护等级，可现场密封升级；</w:t>
      </w:r>
    </w:p>
    <w:p>
      <w:pPr>
        <w:spacing w:line="360" w:lineRule="auto"/>
        <w:ind w:firstLine="480"/>
        <w:rPr>
          <w:rFonts w:ascii="宋体" w:hAnsi="宋体" w:cs="宋体"/>
          <w:sz w:val="24"/>
          <w:highlight w:val="none"/>
        </w:rPr>
      </w:pPr>
      <w:r>
        <w:rPr>
          <w:rFonts w:hint="eastAsia" w:ascii="宋体" w:hAnsi="宋体" w:cs="宋体"/>
          <w:sz w:val="24"/>
          <w:highlight w:val="none"/>
        </w:rPr>
        <w:t>④变送器</w:t>
      </w:r>
    </w:p>
    <w:p>
      <w:pPr>
        <w:spacing w:line="360" w:lineRule="auto"/>
        <w:ind w:firstLine="480"/>
        <w:rPr>
          <w:rFonts w:ascii="宋体" w:hAnsi="宋体" w:cs="宋体"/>
          <w:sz w:val="24"/>
          <w:highlight w:val="none"/>
        </w:rPr>
      </w:pPr>
      <w:r>
        <w:rPr>
          <w:rFonts w:hint="eastAsia" w:ascii="宋体" w:hAnsi="宋体" w:cs="宋体"/>
          <w:sz w:val="24"/>
          <w:highlight w:val="none"/>
        </w:rPr>
        <w:t xml:space="preserve">测量精度：小于测量值的±0.5% </w:t>
      </w:r>
    </w:p>
    <w:p>
      <w:pPr>
        <w:spacing w:line="360" w:lineRule="auto"/>
        <w:ind w:firstLine="480"/>
        <w:rPr>
          <w:rFonts w:ascii="宋体" w:hAnsi="宋体" w:cs="宋体"/>
          <w:sz w:val="24"/>
          <w:highlight w:val="none"/>
        </w:rPr>
      </w:pPr>
      <w:r>
        <w:rPr>
          <w:rFonts w:hint="eastAsia" w:ascii="宋体" w:hAnsi="宋体" w:cs="宋体"/>
          <w:sz w:val="24"/>
          <w:highlight w:val="none"/>
        </w:rPr>
        <w:t>显示：3行字符带背光LCD点阵显示；接触式按键；</w:t>
      </w:r>
    </w:p>
    <w:p>
      <w:pPr>
        <w:spacing w:line="360" w:lineRule="auto"/>
        <w:ind w:firstLine="480"/>
        <w:rPr>
          <w:rFonts w:ascii="宋体" w:hAnsi="宋体" w:cs="宋体"/>
          <w:sz w:val="24"/>
          <w:highlight w:val="none"/>
        </w:rPr>
      </w:pPr>
      <w:r>
        <w:rPr>
          <w:rFonts w:hint="eastAsia" w:ascii="宋体" w:hAnsi="宋体" w:cs="宋体"/>
          <w:sz w:val="24"/>
          <w:highlight w:val="none"/>
        </w:rPr>
        <w:t>★无需开盖即可现场操作、设置；内置SENSORPROM单元自动更新设置参数,易于调试；输出信号： 4～20mA 及RS485 modBus协议；维护：变送器更换，用户无需再次校准即可保证精度；无需再次用户设置；（提供产品彩页或官网资料截图）</w:t>
      </w:r>
    </w:p>
    <w:p>
      <w:pPr>
        <w:spacing w:line="360" w:lineRule="auto"/>
        <w:ind w:firstLine="480"/>
        <w:rPr>
          <w:rFonts w:ascii="宋体" w:hAnsi="宋体" w:cs="宋体"/>
          <w:sz w:val="24"/>
          <w:highlight w:val="none"/>
        </w:rPr>
      </w:pPr>
      <w:r>
        <w:rPr>
          <w:rFonts w:hint="eastAsia" w:ascii="宋体" w:hAnsi="宋体" w:cs="宋体"/>
          <w:sz w:val="24"/>
          <w:highlight w:val="none"/>
        </w:rPr>
        <w:t>智能自诊断功能,出错指示和故障记录</w:t>
      </w:r>
    </w:p>
    <w:p>
      <w:pPr>
        <w:spacing w:line="360" w:lineRule="auto"/>
        <w:ind w:firstLine="480"/>
        <w:rPr>
          <w:rFonts w:ascii="宋体" w:hAnsi="宋体" w:cs="宋体"/>
          <w:sz w:val="24"/>
          <w:highlight w:val="none"/>
        </w:rPr>
      </w:pPr>
      <w:r>
        <w:rPr>
          <w:rFonts w:hint="eastAsia" w:ascii="宋体" w:hAnsi="宋体" w:cs="宋体"/>
          <w:sz w:val="24"/>
          <w:highlight w:val="none"/>
        </w:rPr>
        <w:t>保护等级：IP67</w:t>
      </w:r>
    </w:p>
    <w:p>
      <w:pPr>
        <w:spacing w:line="360" w:lineRule="auto"/>
        <w:ind w:firstLine="480"/>
        <w:rPr>
          <w:rFonts w:ascii="宋体" w:hAnsi="宋体" w:cs="宋体"/>
          <w:sz w:val="24"/>
          <w:highlight w:val="none"/>
        </w:rPr>
      </w:pPr>
      <w:r>
        <w:rPr>
          <w:rFonts w:hint="eastAsia" w:ascii="宋体" w:hAnsi="宋体" w:cs="宋体"/>
          <w:sz w:val="24"/>
          <w:highlight w:val="none"/>
        </w:rPr>
        <w:t>环境温度：-20～60℃</w:t>
      </w:r>
    </w:p>
    <w:p>
      <w:pPr>
        <w:spacing w:line="360" w:lineRule="auto"/>
        <w:ind w:firstLine="480"/>
        <w:rPr>
          <w:rFonts w:ascii="宋体" w:hAnsi="宋体" w:cs="宋体"/>
          <w:sz w:val="24"/>
          <w:highlight w:val="none"/>
        </w:rPr>
      </w:pPr>
      <w:r>
        <w:rPr>
          <w:rFonts w:hint="eastAsia" w:ascii="宋体" w:hAnsi="宋体" w:cs="宋体"/>
          <w:sz w:val="24"/>
          <w:highlight w:val="none"/>
        </w:rPr>
        <w:t>电源：220V AC,50Hz</w:t>
      </w:r>
    </w:p>
    <w:p>
      <w:pPr>
        <w:widowControl/>
        <w:spacing w:line="360" w:lineRule="auto"/>
        <w:rPr>
          <w:rFonts w:ascii="宋体" w:hAnsi="宋体" w:cs="宋体"/>
          <w:b/>
          <w:sz w:val="24"/>
          <w:highlight w:val="none"/>
        </w:rPr>
      </w:pPr>
    </w:p>
    <w:p>
      <w:pPr>
        <w:widowControl/>
        <w:spacing w:line="360" w:lineRule="auto"/>
        <w:rPr>
          <w:rFonts w:ascii="宋体" w:hAnsi="宋体" w:cs="宋体"/>
          <w:sz w:val="24"/>
          <w:highlight w:val="none"/>
        </w:rPr>
      </w:pPr>
      <w:r>
        <w:rPr>
          <w:rFonts w:hint="eastAsia" w:ascii="宋体" w:hAnsi="宋体" w:cs="宋体"/>
          <w:b/>
          <w:sz w:val="24"/>
          <w:highlight w:val="none"/>
        </w:rPr>
        <w:t xml:space="preserve">（4）、压力变送器： </w:t>
      </w:r>
    </w:p>
    <w:p>
      <w:pPr>
        <w:spacing w:line="360" w:lineRule="auto"/>
        <w:ind w:firstLine="480"/>
        <w:rPr>
          <w:rFonts w:ascii="宋体" w:hAnsi="宋体" w:cs="宋体"/>
          <w:sz w:val="24"/>
          <w:highlight w:val="none"/>
        </w:rPr>
      </w:pPr>
      <w:r>
        <w:rPr>
          <w:rFonts w:hint="eastAsia" w:ascii="宋体" w:hAnsi="宋体" w:cs="宋体"/>
          <w:sz w:val="24"/>
          <w:highlight w:val="none"/>
        </w:rPr>
        <w:t>测量范围：0-1.6Mpa；</w:t>
      </w:r>
    </w:p>
    <w:p>
      <w:pPr>
        <w:spacing w:line="360" w:lineRule="auto"/>
        <w:ind w:firstLine="480"/>
        <w:rPr>
          <w:rFonts w:ascii="宋体" w:hAnsi="宋体" w:cs="宋体"/>
          <w:sz w:val="24"/>
          <w:highlight w:val="none"/>
        </w:rPr>
      </w:pPr>
      <w:r>
        <w:rPr>
          <w:rFonts w:hint="eastAsia" w:ascii="宋体" w:hAnsi="宋体" w:cs="宋体"/>
          <w:sz w:val="24"/>
          <w:highlight w:val="none"/>
        </w:rPr>
        <w:t>电源：DC24V</w:t>
      </w:r>
    </w:p>
    <w:p>
      <w:pPr>
        <w:spacing w:line="360" w:lineRule="auto"/>
        <w:ind w:firstLine="480"/>
        <w:rPr>
          <w:rFonts w:ascii="宋体" w:hAnsi="宋体" w:cs="宋体"/>
          <w:color w:val="000000"/>
          <w:sz w:val="24"/>
          <w:highlight w:val="none"/>
        </w:rPr>
      </w:pPr>
      <w:r>
        <w:rPr>
          <w:rFonts w:hint="eastAsia" w:ascii="宋体" w:hAnsi="宋体" w:cs="宋体"/>
          <w:sz w:val="24"/>
          <w:highlight w:val="none"/>
        </w:rPr>
        <w:t>工作环境温度：</w:t>
      </w:r>
      <w:r>
        <w:rPr>
          <w:rStyle w:val="133"/>
          <w:rFonts w:hint="eastAsia" w:ascii="宋体" w:hAnsi="宋体" w:cs="宋体"/>
          <w:sz w:val="24"/>
          <w:szCs w:val="24"/>
          <w:highlight w:val="none"/>
        </w:rPr>
        <w:t>-30 … +85 °C</w:t>
      </w:r>
    </w:p>
    <w:p>
      <w:pPr>
        <w:spacing w:line="360" w:lineRule="auto"/>
        <w:ind w:firstLine="480"/>
        <w:rPr>
          <w:rFonts w:ascii="宋体" w:hAnsi="宋体" w:cs="宋体"/>
          <w:sz w:val="24"/>
          <w:highlight w:val="none"/>
        </w:rPr>
      </w:pPr>
      <w:r>
        <w:rPr>
          <w:rFonts w:hint="eastAsia" w:ascii="宋体" w:hAnsi="宋体" w:cs="宋体"/>
          <w:sz w:val="24"/>
          <w:highlight w:val="none"/>
        </w:rPr>
        <w:t>★输出4-20mA（二线制），支持HART协议；测量精度：0.075%(对应精度等级：0.1级（提供产品彩页或官网资料截图）</w:t>
      </w:r>
    </w:p>
    <w:p>
      <w:pPr>
        <w:spacing w:line="360" w:lineRule="auto"/>
        <w:ind w:firstLine="480"/>
        <w:rPr>
          <w:rFonts w:ascii="宋体" w:hAnsi="宋体" w:cs="宋体"/>
          <w:sz w:val="24"/>
          <w:highlight w:val="none"/>
        </w:rPr>
      </w:pPr>
      <w:r>
        <w:rPr>
          <w:rFonts w:hint="eastAsia" w:ascii="宋体" w:hAnsi="宋体" w:cs="宋体"/>
          <w:sz w:val="24"/>
          <w:highlight w:val="none"/>
        </w:rPr>
        <w:t>显示：带显示屏，并有保护盖</w:t>
      </w:r>
    </w:p>
    <w:p>
      <w:pPr>
        <w:spacing w:line="360" w:lineRule="auto"/>
        <w:ind w:firstLine="480"/>
        <w:rPr>
          <w:rFonts w:ascii="宋体" w:hAnsi="宋体" w:cs="宋体"/>
          <w:sz w:val="24"/>
          <w:highlight w:val="none"/>
        </w:rPr>
      </w:pPr>
      <w:r>
        <w:rPr>
          <w:rFonts w:hint="eastAsia" w:ascii="宋体" w:hAnsi="宋体" w:cs="宋体"/>
          <w:sz w:val="24"/>
          <w:highlight w:val="none"/>
        </w:rPr>
        <w:t>IP68防护等级；</w:t>
      </w:r>
    </w:p>
    <w:p>
      <w:pPr>
        <w:spacing w:line="360" w:lineRule="auto"/>
        <w:ind w:firstLine="480"/>
        <w:rPr>
          <w:rFonts w:ascii="宋体" w:hAnsi="宋体" w:cs="宋体"/>
          <w:sz w:val="24"/>
          <w:highlight w:val="none"/>
        </w:rPr>
      </w:pPr>
      <w:r>
        <w:rPr>
          <w:rFonts w:hint="eastAsia" w:ascii="宋体" w:hAnsi="宋体" w:cs="宋体"/>
          <w:sz w:val="24"/>
          <w:highlight w:val="none"/>
        </w:rPr>
        <w:t>配不锈钢阀及取压缓冲管；</w:t>
      </w:r>
    </w:p>
    <w:p>
      <w:pPr>
        <w:pStyle w:val="3"/>
        <w:spacing w:line="360" w:lineRule="auto"/>
        <w:rPr>
          <w:rFonts w:ascii="宋体" w:hAnsi="宋体" w:cs="宋体"/>
          <w:highlight w:val="none"/>
        </w:rPr>
      </w:pPr>
    </w:p>
    <w:p>
      <w:pPr>
        <w:widowControl/>
        <w:spacing w:line="360" w:lineRule="auto"/>
        <w:rPr>
          <w:rFonts w:ascii="宋体" w:hAnsi="宋体" w:cs="宋体"/>
          <w:sz w:val="24"/>
          <w:highlight w:val="none"/>
        </w:rPr>
      </w:pPr>
      <w:r>
        <w:rPr>
          <w:rFonts w:hint="eastAsia" w:ascii="宋体" w:hAnsi="宋体" w:cs="宋体"/>
          <w:b/>
          <w:sz w:val="24"/>
          <w:highlight w:val="none"/>
        </w:rPr>
        <w:t xml:space="preserve">（5）、低量程浊度仪： </w:t>
      </w:r>
    </w:p>
    <w:p>
      <w:pPr>
        <w:spacing w:line="360" w:lineRule="auto"/>
        <w:ind w:firstLine="480"/>
        <w:rPr>
          <w:rFonts w:hint="eastAsia" w:ascii="宋体" w:hAnsi="宋体" w:eastAsia="宋体" w:cs="宋体"/>
          <w:color w:val="FF0000"/>
          <w:sz w:val="24"/>
          <w:highlight w:val="none"/>
          <w:lang w:val="en-US" w:eastAsia="zh-CN"/>
        </w:rPr>
      </w:pPr>
      <w:r>
        <w:rPr>
          <w:rFonts w:hint="eastAsia" w:ascii="宋体" w:hAnsi="宋体" w:cs="宋体"/>
          <w:color w:val="FF0000"/>
          <w:sz w:val="24"/>
          <w:highlight w:val="none"/>
          <w:lang w:val="en-US" w:eastAsia="zh-CN"/>
        </w:rPr>
        <w:t xml:space="preserve"> 功能：测量、指示和传送过程检测介质中的浊度</w:t>
      </w:r>
    </w:p>
    <w:p>
      <w:pPr>
        <w:spacing w:line="360" w:lineRule="auto"/>
        <w:ind w:firstLine="480"/>
        <w:rPr>
          <w:rFonts w:ascii="宋体" w:hAnsi="宋体" w:cs="宋体"/>
          <w:sz w:val="24"/>
          <w:highlight w:val="none"/>
        </w:rPr>
      </w:pPr>
      <w:r>
        <w:rPr>
          <w:rFonts w:hint="eastAsia" w:ascii="宋体" w:hAnsi="宋体" w:cs="宋体"/>
          <w:sz w:val="24"/>
          <w:highlight w:val="none"/>
        </w:rPr>
        <w:t>★形式：</w:t>
      </w:r>
      <w:r>
        <w:rPr>
          <w:rFonts w:ascii="宋体" w:hAnsi="宋体" w:cs="宋体"/>
          <w:sz w:val="24"/>
          <w:highlight w:val="none"/>
        </w:rPr>
        <w:t>90°</w:t>
      </w:r>
      <w:r>
        <w:rPr>
          <w:rFonts w:hint="eastAsia" w:ascii="宋体" w:hAnsi="宋体" w:cs="宋体"/>
          <w:sz w:val="24"/>
          <w:highlight w:val="none"/>
        </w:rPr>
        <w:t>散射光测量原理，Memosens数字电极</w:t>
      </w:r>
    </w:p>
    <w:p>
      <w:pPr>
        <w:spacing w:line="360" w:lineRule="auto"/>
        <w:ind w:firstLine="480"/>
        <w:rPr>
          <w:rFonts w:ascii="宋体" w:hAnsi="宋体" w:cs="宋体"/>
          <w:sz w:val="24"/>
          <w:highlight w:val="none"/>
        </w:rPr>
      </w:pPr>
      <w:r>
        <w:rPr>
          <w:rFonts w:hint="eastAsia" w:ascii="宋体" w:hAnsi="宋体" w:cs="宋体"/>
          <w:sz w:val="24"/>
          <w:highlight w:val="none"/>
        </w:rPr>
        <w:t>组成：测量、变送、元件及附件安装附件和清洗装置</w:t>
      </w:r>
    </w:p>
    <w:p>
      <w:pPr>
        <w:spacing w:line="360" w:lineRule="auto"/>
        <w:ind w:firstLine="480"/>
        <w:rPr>
          <w:rFonts w:ascii="宋体" w:hAnsi="宋体" w:cs="宋体"/>
          <w:sz w:val="24"/>
          <w:highlight w:val="none"/>
        </w:rPr>
      </w:pPr>
      <w:r>
        <w:rPr>
          <w:rFonts w:hint="eastAsia" w:ascii="宋体" w:hAnsi="宋体" w:cs="宋体"/>
          <w:sz w:val="24"/>
          <w:highlight w:val="none"/>
        </w:rPr>
        <w:t>性能</w:t>
      </w:r>
    </w:p>
    <w:p>
      <w:pPr>
        <w:spacing w:line="360" w:lineRule="auto"/>
        <w:ind w:firstLine="480"/>
        <w:rPr>
          <w:rFonts w:ascii="宋体" w:hAnsi="宋体" w:cs="宋体"/>
          <w:sz w:val="24"/>
          <w:highlight w:val="none"/>
        </w:rPr>
      </w:pPr>
      <w:r>
        <w:rPr>
          <w:rFonts w:hint="eastAsia" w:ascii="宋体" w:hAnsi="宋体" w:cs="宋体"/>
          <w:sz w:val="24"/>
          <w:highlight w:val="none"/>
        </w:rPr>
        <w:t>测量范围：</w:t>
      </w:r>
      <w:r>
        <w:rPr>
          <w:rFonts w:ascii="宋体" w:hAnsi="宋体" w:cs="宋体"/>
          <w:sz w:val="24"/>
          <w:highlight w:val="none"/>
        </w:rPr>
        <w:t>0-10NTU</w:t>
      </w:r>
      <w:r>
        <w:rPr>
          <w:rFonts w:hint="eastAsia" w:ascii="宋体" w:hAnsi="宋体" w:cs="宋体"/>
          <w:sz w:val="24"/>
          <w:highlight w:val="none"/>
        </w:rPr>
        <w:t>/</w:t>
      </w:r>
      <w:r>
        <w:rPr>
          <w:rFonts w:ascii="宋体" w:hAnsi="宋体" w:cs="宋体"/>
          <w:sz w:val="24"/>
          <w:highlight w:val="none"/>
        </w:rPr>
        <w:t>0-100NTU</w:t>
      </w:r>
    </w:p>
    <w:p>
      <w:pPr>
        <w:spacing w:line="360" w:lineRule="auto"/>
        <w:ind w:firstLine="480"/>
        <w:rPr>
          <w:rFonts w:ascii="宋体" w:hAnsi="宋体" w:cs="宋体"/>
          <w:sz w:val="24"/>
          <w:highlight w:val="none"/>
        </w:rPr>
      </w:pPr>
      <w:r>
        <w:rPr>
          <w:rFonts w:hint="eastAsia" w:ascii="宋体" w:hAnsi="宋体" w:cs="宋体"/>
          <w:sz w:val="24"/>
          <w:highlight w:val="none"/>
        </w:rPr>
        <w:t>测量精度：浊度：</w:t>
      </w:r>
      <w:r>
        <w:rPr>
          <w:rFonts w:ascii="宋体" w:hAnsi="宋体" w:cs="宋体"/>
          <w:sz w:val="24"/>
          <w:highlight w:val="none"/>
        </w:rPr>
        <w:t>&lt;</w:t>
      </w:r>
      <w:r>
        <w:rPr>
          <w:rFonts w:hint="eastAsia" w:ascii="宋体" w:hAnsi="宋体" w:cs="宋体"/>
          <w:sz w:val="24"/>
          <w:highlight w:val="none"/>
        </w:rPr>
        <w:t>测量值的</w:t>
      </w:r>
      <w:r>
        <w:rPr>
          <w:rFonts w:ascii="宋体" w:hAnsi="宋体" w:cs="宋体"/>
          <w:sz w:val="24"/>
          <w:highlight w:val="none"/>
        </w:rPr>
        <w:t>2%</w:t>
      </w:r>
      <w:r>
        <w:rPr>
          <w:rFonts w:hint="eastAsia" w:ascii="宋体" w:hAnsi="宋体" w:cs="宋体"/>
          <w:sz w:val="24"/>
          <w:highlight w:val="none"/>
        </w:rPr>
        <w:t>±</w:t>
      </w:r>
      <w:r>
        <w:rPr>
          <w:rFonts w:ascii="宋体" w:hAnsi="宋体" w:cs="宋体"/>
          <w:sz w:val="24"/>
          <w:highlight w:val="none"/>
        </w:rPr>
        <w:t>0.</w:t>
      </w:r>
      <w:r>
        <w:rPr>
          <w:rFonts w:hint="eastAsia" w:ascii="宋体" w:hAnsi="宋体" w:cs="宋体"/>
          <w:sz w:val="24"/>
          <w:highlight w:val="none"/>
        </w:rPr>
        <w:t>0</w:t>
      </w:r>
      <w:r>
        <w:rPr>
          <w:rFonts w:ascii="宋体" w:hAnsi="宋体" w:cs="宋体"/>
          <w:sz w:val="24"/>
          <w:highlight w:val="none"/>
        </w:rPr>
        <w:t>1FNU</w:t>
      </w:r>
    </w:p>
    <w:p>
      <w:pPr>
        <w:spacing w:line="360" w:lineRule="auto"/>
        <w:ind w:firstLine="480"/>
        <w:rPr>
          <w:rFonts w:ascii="宋体" w:hAnsi="宋体" w:cs="宋体"/>
          <w:sz w:val="24"/>
          <w:highlight w:val="none"/>
        </w:rPr>
      </w:pPr>
      <w:r>
        <w:rPr>
          <w:rFonts w:hint="eastAsia" w:ascii="宋体" w:hAnsi="宋体" w:cs="宋体"/>
          <w:sz w:val="24"/>
          <w:highlight w:val="none"/>
        </w:rPr>
        <w:t>防护等级：传感器IP68 变送器IP65</w:t>
      </w:r>
    </w:p>
    <w:p>
      <w:pPr>
        <w:spacing w:line="360" w:lineRule="auto"/>
        <w:ind w:firstLine="480"/>
        <w:rPr>
          <w:rFonts w:ascii="宋体" w:hAnsi="宋体" w:cs="宋体"/>
          <w:sz w:val="24"/>
          <w:highlight w:val="none"/>
        </w:rPr>
      </w:pPr>
      <w:r>
        <w:rPr>
          <w:rFonts w:hint="eastAsia" w:ascii="宋体" w:hAnsi="宋体" w:cs="宋体"/>
          <w:sz w:val="24"/>
          <w:highlight w:val="none"/>
        </w:rPr>
        <w:t>操作温度：</w:t>
      </w:r>
      <w:r>
        <w:rPr>
          <w:rFonts w:ascii="宋体" w:hAnsi="宋体" w:cs="宋体"/>
          <w:sz w:val="24"/>
          <w:highlight w:val="none"/>
        </w:rPr>
        <w:t>-</w:t>
      </w:r>
      <w:r>
        <w:rPr>
          <w:rFonts w:hint="eastAsia" w:ascii="宋体" w:hAnsi="宋体" w:cs="宋体"/>
          <w:sz w:val="24"/>
          <w:highlight w:val="none"/>
        </w:rPr>
        <w:t>5…</w:t>
      </w:r>
      <w:r>
        <w:rPr>
          <w:rFonts w:ascii="宋体" w:hAnsi="宋体" w:cs="宋体"/>
          <w:sz w:val="24"/>
          <w:highlight w:val="none"/>
        </w:rPr>
        <w:t>+5</w:t>
      </w:r>
      <w:r>
        <w:rPr>
          <w:rFonts w:hint="eastAsia" w:ascii="宋体" w:hAnsi="宋体" w:cs="宋体"/>
          <w:sz w:val="24"/>
          <w:highlight w:val="none"/>
        </w:rPr>
        <w:t>0℃</w:t>
      </w:r>
    </w:p>
    <w:p>
      <w:pPr>
        <w:spacing w:line="360" w:lineRule="auto"/>
        <w:ind w:firstLine="480"/>
        <w:rPr>
          <w:rFonts w:ascii="宋体" w:hAnsi="宋体" w:cs="宋体"/>
          <w:sz w:val="24"/>
          <w:highlight w:val="none"/>
        </w:rPr>
      </w:pPr>
      <w:r>
        <w:rPr>
          <w:rFonts w:hint="eastAsia" w:ascii="宋体" w:hAnsi="宋体" w:cs="宋体"/>
          <w:sz w:val="24"/>
          <w:highlight w:val="none"/>
        </w:rPr>
        <w:t>存储温度：</w:t>
      </w:r>
      <w:r>
        <w:rPr>
          <w:rFonts w:ascii="宋体" w:hAnsi="宋体" w:cs="宋体"/>
          <w:sz w:val="24"/>
          <w:highlight w:val="none"/>
        </w:rPr>
        <w:t>-20...+</w:t>
      </w:r>
      <w:r>
        <w:rPr>
          <w:rFonts w:hint="eastAsia" w:ascii="宋体" w:hAnsi="宋体" w:cs="宋体"/>
          <w:sz w:val="24"/>
          <w:highlight w:val="none"/>
        </w:rPr>
        <w:t>7</w:t>
      </w:r>
      <w:r>
        <w:rPr>
          <w:rFonts w:ascii="宋体" w:hAnsi="宋体" w:cs="宋体"/>
          <w:sz w:val="24"/>
          <w:highlight w:val="none"/>
        </w:rPr>
        <w:t>0</w:t>
      </w:r>
      <w:r>
        <w:rPr>
          <w:rFonts w:hint="eastAsia" w:ascii="宋体" w:hAnsi="宋体" w:cs="宋体"/>
          <w:sz w:val="24"/>
          <w:highlight w:val="none"/>
        </w:rPr>
        <w:t>℃</w:t>
      </w:r>
    </w:p>
    <w:p>
      <w:pPr>
        <w:spacing w:line="360" w:lineRule="auto"/>
        <w:ind w:firstLine="480"/>
        <w:rPr>
          <w:rFonts w:ascii="宋体" w:hAnsi="宋体" w:cs="宋体"/>
          <w:sz w:val="24"/>
          <w:highlight w:val="none"/>
        </w:rPr>
      </w:pPr>
      <w:r>
        <w:rPr>
          <w:rFonts w:hint="eastAsia" w:ascii="宋体" w:hAnsi="宋体" w:cs="宋体"/>
          <w:sz w:val="24"/>
          <w:highlight w:val="none"/>
        </w:rPr>
        <w:t>过程压力：最大10bar</w:t>
      </w:r>
    </w:p>
    <w:p>
      <w:pPr>
        <w:spacing w:line="360" w:lineRule="auto"/>
        <w:ind w:firstLine="480"/>
        <w:rPr>
          <w:rFonts w:ascii="宋体" w:hAnsi="宋体" w:cs="宋体"/>
          <w:sz w:val="24"/>
          <w:highlight w:val="none"/>
        </w:rPr>
      </w:pPr>
      <w:r>
        <w:rPr>
          <w:rFonts w:ascii="宋体" w:hAnsi="宋体" w:cs="宋体"/>
          <w:sz w:val="24"/>
          <w:highlight w:val="none"/>
        </w:rPr>
        <w:t>C</w:t>
      </w:r>
      <w:r>
        <w:rPr>
          <w:rFonts w:hint="eastAsia" w:ascii="宋体" w:hAnsi="宋体" w:cs="宋体"/>
          <w:sz w:val="24"/>
          <w:highlight w:val="none"/>
        </w:rPr>
        <w:t>．  变送器</w:t>
      </w:r>
    </w:p>
    <w:p>
      <w:pPr>
        <w:spacing w:line="360" w:lineRule="auto"/>
        <w:ind w:firstLine="480"/>
        <w:rPr>
          <w:rFonts w:ascii="宋体" w:hAnsi="宋体" w:cs="宋体"/>
          <w:sz w:val="24"/>
          <w:highlight w:val="none"/>
        </w:rPr>
      </w:pPr>
      <w:r>
        <w:rPr>
          <w:rFonts w:hint="eastAsia" w:ascii="宋体" w:hAnsi="宋体" w:cs="宋体"/>
          <w:sz w:val="24"/>
          <w:highlight w:val="none"/>
        </w:rPr>
        <w:t>支持即插即用，模块化设计，测量数据曲线显示，背光显示，飞梭键快捷操作，具有自诊断功能，以及错误报警功能，每种故障情况都会产生并显示与之相应的报警代码</w:t>
      </w:r>
    </w:p>
    <w:p>
      <w:pPr>
        <w:spacing w:line="360" w:lineRule="auto"/>
        <w:ind w:firstLine="480"/>
        <w:rPr>
          <w:rFonts w:ascii="宋体" w:hAnsi="宋体" w:cs="宋体"/>
          <w:sz w:val="24"/>
          <w:highlight w:val="none"/>
        </w:rPr>
      </w:pPr>
      <w:r>
        <w:rPr>
          <w:rFonts w:hint="eastAsia" w:ascii="宋体" w:hAnsi="宋体" w:cs="宋体"/>
          <w:sz w:val="24"/>
          <w:highlight w:val="none"/>
        </w:rPr>
        <w:t>隔离输出信号：两路4～20mA  HART协议</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电源：220VAC，50Hz</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断电自动储存系统数据</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故障报警：开关量输出自身报警220VAC，5A（2路）</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安装方式：浸入式和卡箍式流通安装，可配置压缩空气清洗或超声波清洗</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电缆长度：7m</w:t>
      </w:r>
    </w:p>
    <w:p>
      <w:pPr>
        <w:pStyle w:val="2"/>
        <w:spacing w:line="360" w:lineRule="auto"/>
        <w:rPr>
          <w:rFonts w:ascii="宋体" w:hAnsi="宋体" w:cs="宋体"/>
          <w:sz w:val="24"/>
          <w:highlight w:val="none"/>
        </w:rPr>
      </w:pPr>
    </w:p>
    <w:p>
      <w:pPr>
        <w:widowControl/>
        <w:spacing w:line="360" w:lineRule="auto"/>
        <w:rPr>
          <w:rFonts w:ascii="宋体" w:hAnsi="宋体" w:cs="宋体"/>
          <w:sz w:val="24"/>
          <w:highlight w:val="none"/>
        </w:rPr>
      </w:pPr>
      <w:r>
        <w:rPr>
          <w:rFonts w:hint="eastAsia" w:ascii="宋体" w:hAnsi="宋体" w:cs="宋体"/>
          <w:b/>
          <w:sz w:val="24"/>
          <w:highlight w:val="none"/>
        </w:rPr>
        <w:t xml:space="preserve">（6）、高量程浊度仪： </w:t>
      </w:r>
    </w:p>
    <w:p>
      <w:pPr>
        <w:spacing w:line="360" w:lineRule="auto"/>
        <w:ind w:firstLine="480"/>
        <w:rPr>
          <w:rFonts w:ascii="宋体" w:hAnsi="宋体" w:cs="宋体"/>
          <w:color w:val="FF0000"/>
          <w:sz w:val="24"/>
          <w:highlight w:val="none"/>
        </w:rPr>
      </w:pPr>
      <w:r>
        <w:rPr>
          <w:rFonts w:hint="eastAsia" w:ascii="宋体" w:hAnsi="宋体" w:cs="宋体"/>
          <w:color w:val="FF0000"/>
          <w:sz w:val="24"/>
          <w:highlight w:val="none"/>
        </w:rPr>
        <w:t>功能：测量、指示和传送过程检测介质中的污泥浓度</w:t>
      </w:r>
    </w:p>
    <w:p>
      <w:pPr>
        <w:spacing w:line="360" w:lineRule="auto"/>
        <w:ind w:firstLine="480"/>
        <w:rPr>
          <w:rFonts w:ascii="宋体" w:hAnsi="宋体" w:cs="宋体"/>
          <w:sz w:val="24"/>
          <w:highlight w:val="none"/>
        </w:rPr>
      </w:pPr>
      <w:r>
        <w:rPr>
          <w:rFonts w:hint="eastAsia" w:ascii="宋体" w:hAnsi="宋体" w:cs="宋体"/>
          <w:sz w:val="24"/>
          <w:highlight w:val="none"/>
        </w:rPr>
        <w:t>★形式：</w:t>
      </w:r>
      <w:r>
        <w:rPr>
          <w:rFonts w:ascii="宋体" w:hAnsi="宋体" w:cs="宋体"/>
          <w:sz w:val="24"/>
          <w:highlight w:val="none"/>
        </w:rPr>
        <w:t>90°</w:t>
      </w:r>
      <w:r>
        <w:rPr>
          <w:rFonts w:hint="eastAsia" w:ascii="宋体" w:hAnsi="宋体" w:cs="宋体"/>
          <w:sz w:val="24"/>
          <w:highlight w:val="none"/>
        </w:rPr>
        <w:t>散射光测量原理，Memosens数字电极</w:t>
      </w:r>
    </w:p>
    <w:p>
      <w:pPr>
        <w:spacing w:line="360" w:lineRule="auto"/>
        <w:ind w:firstLine="480"/>
        <w:rPr>
          <w:rFonts w:ascii="宋体" w:hAnsi="宋体" w:cs="宋体"/>
          <w:sz w:val="24"/>
          <w:highlight w:val="none"/>
        </w:rPr>
      </w:pPr>
      <w:r>
        <w:rPr>
          <w:rFonts w:hint="eastAsia" w:ascii="宋体" w:hAnsi="宋体" w:cs="宋体"/>
          <w:sz w:val="24"/>
          <w:highlight w:val="none"/>
        </w:rPr>
        <w:t>组成：测量、变送、元件及附件安装附件和清洗装置</w:t>
      </w:r>
    </w:p>
    <w:p>
      <w:pPr>
        <w:spacing w:line="360" w:lineRule="auto"/>
        <w:ind w:firstLine="480"/>
        <w:rPr>
          <w:rFonts w:ascii="宋体" w:hAnsi="宋体" w:cs="宋体"/>
          <w:sz w:val="24"/>
          <w:highlight w:val="none"/>
        </w:rPr>
      </w:pPr>
      <w:r>
        <w:rPr>
          <w:rFonts w:hint="eastAsia" w:ascii="宋体" w:hAnsi="宋体" w:cs="宋体"/>
          <w:sz w:val="24"/>
          <w:highlight w:val="none"/>
        </w:rPr>
        <w:t>性能</w:t>
      </w:r>
    </w:p>
    <w:p>
      <w:pPr>
        <w:spacing w:line="360" w:lineRule="auto"/>
        <w:ind w:firstLine="480"/>
        <w:rPr>
          <w:rFonts w:ascii="宋体" w:hAnsi="宋体" w:cs="宋体"/>
          <w:sz w:val="24"/>
          <w:highlight w:val="none"/>
        </w:rPr>
      </w:pPr>
      <w:r>
        <w:rPr>
          <w:rFonts w:hint="eastAsia" w:ascii="宋体" w:hAnsi="宋体" w:cs="宋体"/>
          <w:sz w:val="24"/>
          <w:highlight w:val="none"/>
        </w:rPr>
        <w:t>测量范围：</w:t>
      </w:r>
      <w:r>
        <w:rPr>
          <w:rFonts w:ascii="宋体" w:hAnsi="宋体" w:cs="宋体"/>
          <w:sz w:val="24"/>
          <w:highlight w:val="none"/>
        </w:rPr>
        <w:t>0-4000NTU</w:t>
      </w:r>
    </w:p>
    <w:p>
      <w:pPr>
        <w:spacing w:line="360" w:lineRule="auto"/>
        <w:ind w:firstLine="480"/>
        <w:rPr>
          <w:rFonts w:ascii="宋体" w:hAnsi="宋体" w:cs="宋体"/>
          <w:sz w:val="24"/>
          <w:highlight w:val="none"/>
        </w:rPr>
      </w:pPr>
      <w:r>
        <w:rPr>
          <w:rFonts w:hint="eastAsia" w:ascii="宋体" w:hAnsi="宋体" w:cs="宋体"/>
          <w:sz w:val="24"/>
          <w:highlight w:val="none"/>
        </w:rPr>
        <w:t>测量精度：浊度：</w:t>
      </w:r>
      <w:r>
        <w:rPr>
          <w:rFonts w:ascii="宋体" w:hAnsi="宋体" w:cs="宋体"/>
          <w:sz w:val="24"/>
          <w:highlight w:val="none"/>
        </w:rPr>
        <w:t>&lt;</w:t>
      </w:r>
      <w:r>
        <w:rPr>
          <w:rFonts w:hint="eastAsia" w:ascii="宋体" w:hAnsi="宋体" w:cs="宋体"/>
          <w:sz w:val="24"/>
          <w:highlight w:val="none"/>
        </w:rPr>
        <w:t>测量值的</w:t>
      </w:r>
      <w:r>
        <w:rPr>
          <w:rFonts w:ascii="宋体" w:hAnsi="宋体" w:cs="宋体"/>
          <w:sz w:val="24"/>
          <w:highlight w:val="none"/>
        </w:rPr>
        <w:t>2%</w:t>
      </w:r>
      <w:r>
        <w:rPr>
          <w:rFonts w:hint="eastAsia" w:ascii="宋体" w:hAnsi="宋体" w:cs="宋体"/>
          <w:sz w:val="24"/>
          <w:highlight w:val="none"/>
        </w:rPr>
        <w:t>±</w:t>
      </w:r>
      <w:r>
        <w:rPr>
          <w:rFonts w:ascii="宋体" w:hAnsi="宋体" w:cs="宋体"/>
          <w:sz w:val="24"/>
          <w:highlight w:val="none"/>
        </w:rPr>
        <w:t>0.</w:t>
      </w:r>
      <w:r>
        <w:rPr>
          <w:rFonts w:hint="eastAsia" w:ascii="宋体" w:hAnsi="宋体" w:cs="宋体"/>
          <w:sz w:val="24"/>
          <w:highlight w:val="none"/>
        </w:rPr>
        <w:t>0</w:t>
      </w:r>
      <w:r>
        <w:rPr>
          <w:rFonts w:ascii="宋体" w:hAnsi="宋体" w:cs="宋体"/>
          <w:sz w:val="24"/>
          <w:highlight w:val="none"/>
        </w:rPr>
        <w:t>1FNU</w:t>
      </w:r>
    </w:p>
    <w:p>
      <w:pPr>
        <w:spacing w:line="360" w:lineRule="auto"/>
        <w:ind w:firstLine="480"/>
        <w:rPr>
          <w:rFonts w:ascii="宋体" w:hAnsi="宋体" w:cs="宋体"/>
          <w:sz w:val="24"/>
          <w:highlight w:val="none"/>
        </w:rPr>
      </w:pPr>
      <w:r>
        <w:rPr>
          <w:rFonts w:hint="eastAsia" w:ascii="宋体" w:hAnsi="宋体" w:cs="宋体"/>
          <w:sz w:val="24"/>
          <w:highlight w:val="none"/>
        </w:rPr>
        <w:t>防护等级：传感器IP68 变送器IP65</w:t>
      </w:r>
    </w:p>
    <w:p>
      <w:pPr>
        <w:spacing w:line="360" w:lineRule="auto"/>
        <w:ind w:firstLine="480"/>
        <w:rPr>
          <w:rFonts w:ascii="宋体" w:hAnsi="宋体" w:cs="宋体"/>
          <w:sz w:val="24"/>
          <w:highlight w:val="none"/>
        </w:rPr>
      </w:pPr>
      <w:r>
        <w:rPr>
          <w:rFonts w:hint="eastAsia" w:ascii="宋体" w:hAnsi="宋体" w:cs="宋体"/>
          <w:sz w:val="24"/>
          <w:highlight w:val="none"/>
        </w:rPr>
        <w:t>操作温度：</w:t>
      </w:r>
      <w:r>
        <w:rPr>
          <w:rFonts w:ascii="宋体" w:hAnsi="宋体" w:cs="宋体"/>
          <w:sz w:val="24"/>
          <w:highlight w:val="none"/>
        </w:rPr>
        <w:t>-</w:t>
      </w:r>
      <w:r>
        <w:rPr>
          <w:rFonts w:hint="eastAsia" w:ascii="宋体" w:hAnsi="宋体" w:cs="宋体"/>
          <w:sz w:val="24"/>
          <w:highlight w:val="none"/>
        </w:rPr>
        <w:t>5…</w:t>
      </w:r>
      <w:r>
        <w:rPr>
          <w:rFonts w:ascii="宋体" w:hAnsi="宋体" w:cs="宋体"/>
          <w:sz w:val="24"/>
          <w:highlight w:val="none"/>
        </w:rPr>
        <w:t>+5</w:t>
      </w:r>
      <w:r>
        <w:rPr>
          <w:rFonts w:hint="eastAsia" w:ascii="宋体" w:hAnsi="宋体" w:cs="宋体"/>
          <w:sz w:val="24"/>
          <w:highlight w:val="none"/>
        </w:rPr>
        <w:t>0℃</w:t>
      </w:r>
    </w:p>
    <w:p>
      <w:pPr>
        <w:spacing w:line="360" w:lineRule="auto"/>
        <w:ind w:firstLine="480"/>
        <w:rPr>
          <w:rFonts w:ascii="宋体" w:hAnsi="宋体" w:cs="宋体"/>
          <w:sz w:val="24"/>
          <w:highlight w:val="none"/>
        </w:rPr>
      </w:pPr>
      <w:r>
        <w:rPr>
          <w:rFonts w:hint="eastAsia" w:ascii="宋体" w:hAnsi="宋体" w:cs="宋体"/>
          <w:sz w:val="24"/>
          <w:highlight w:val="none"/>
        </w:rPr>
        <w:t>存储温度：</w:t>
      </w:r>
      <w:r>
        <w:rPr>
          <w:rFonts w:ascii="宋体" w:hAnsi="宋体" w:cs="宋体"/>
          <w:sz w:val="24"/>
          <w:highlight w:val="none"/>
        </w:rPr>
        <w:t>-20...+</w:t>
      </w:r>
      <w:r>
        <w:rPr>
          <w:rFonts w:hint="eastAsia" w:ascii="宋体" w:hAnsi="宋体" w:cs="宋体"/>
          <w:sz w:val="24"/>
          <w:highlight w:val="none"/>
        </w:rPr>
        <w:t>7</w:t>
      </w:r>
      <w:r>
        <w:rPr>
          <w:rFonts w:ascii="宋体" w:hAnsi="宋体" w:cs="宋体"/>
          <w:sz w:val="24"/>
          <w:highlight w:val="none"/>
        </w:rPr>
        <w:t>0</w:t>
      </w:r>
      <w:r>
        <w:rPr>
          <w:rFonts w:hint="eastAsia" w:ascii="宋体" w:hAnsi="宋体" w:cs="宋体"/>
          <w:sz w:val="24"/>
          <w:highlight w:val="none"/>
        </w:rPr>
        <w:t>℃</w:t>
      </w:r>
    </w:p>
    <w:p>
      <w:pPr>
        <w:spacing w:line="360" w:lineRule="auto"/>
        <w:ind w:firstLine="480"/>
        <w:rPr>
          <w:rFonts w:ascii="宋体" w:hAnsi="宋体" w:cs="宋体"/>
          <w:sz w:val="24"/>
          <w:highlight w:val="none"/>
        </w:rPr>
      </w:pPr>
      <w:r>
        <w:rPr>
          <w:rFonts w:hint="eastAsia" w:ascii="宋体" w:hAnsi="宋体" w:cs="宋体"/>
          <w:sz w:val="24"/>
          <w:highlight w:val="none"/>
        </w:rPr>
        <w:t>过程压力：最大10bar</w:t>
      </w:r>
    </w:p>
    <w:p>
      <w:pPr>
        <w:spacing w:line="360" w:lineRule="auto"/>
        <w:ind w:firstLine="480"/>
        <w:rPr>
          <w:rFonts w:ascii="宋体" w:hAnsi="宋体" w:cs="宋体"/>
          <w:sz w:val="24"/>
          <w:highlight w:val="none"/>
        </w:rPr>
      </w:pPr>
      <w:r>
        <w:rPr>
          <w:rFonts w:ascii="宋体" w:hAnsi="宋体" w:cs="宋体"/>
          <w:sz w:val="24"/>
          <w:highlight w:val="none"/>
        </w:rPr>
        <w:t>C</w:t>
      </w:r>
      <w:r>
        <w:rPr>
          <w:rFonts w:hint="eastAsia" w:ascii="宋体" w:hAnsi="宋体" w:cs="宋体"/>
          <w:sz w:val="24"/>
          <w:highlight w:val="none"/>
        </w:rPr>
        <w:t>．  变送器</w:t>
      </w:r>
    </w:p>
    <w:p>
      <w:pPr>
        <w:spacing w:line="360" w:lineRule="auto"/>
        <w:ind w:firstLine="480"/>
        <w:rPr>
          <w:rFonts w:ascii="宋体" w:hAnsi="宋体" w:cs="宋体"/>
          <w:sz w:val="24"/>
          <w:highlight w:val="none"/>
        </w:rPr>
      </w:pPr>
      <w:r>
        <w:rPr>
          <w:rFonts w:hint="eastAsia" w:ascii="宋体" w:hAnsi="宋体" w:cs="宋体"/>
          <w:sz w:val="24"/>
          <w:highlight w:val="none"/>
        </w:rPr>
        <w:t>支持即插即用，模块化设计，测量数据曲线显示，背光显示，飞梭键快捷操作，具有自诊断功能，以及错误报警功能，每种故障情况都会产生并显示与之相应的报警代码</w:t>
      </w:r>
    </w:p>
    <w:p>
      <w:pPr>
        <w:spacing w:line="360" w:lineRule="auto"/>
        <w:ind w:firstLine="480"/>
        <w:rPr>
          <w:rFonts w:ascii="宋体" w:hAnsi="宋体" w:cs="宋体"/>
          <w:sz w:val="24"/>
          <w:highlight w:val="none"/>
        </w:rPr>
      </w:pPr>
      <w:r>
        <w:rPr>
          <w:rFonts w:hint="eastAsia" w:ascii="宋体" w:hAnsi="宋体" w:cs="宋体"/>
          <w:sz w:val="24"/>
          <w:highlight w:val="none"/>
        </w:rPr>
        <w:t>隔离输出信号：两路4～20mA  HART协议</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电源：220VAC，50Hz</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断电自动储存系统数据</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故障报警：开关量输出自身报警220VAC，5A（2路）</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安装方式：浸入式和卡箍式流通安装，可配置压缩空气清洗或超声波清洗</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电缆长度：7m</w:t>
      </w:r>
    </w:p>
    <w:p>
      <w:pPr>
        <w:pStyle w:val="3"/>
        <w:spacing w:line="360" w:lineRule="auto"/>
        <w:rPr>
          <w:rFonts w:ascii="宋体" w:hAnsi="宋体" w:cs="宋体"/>
          <w:highlight w:val="none"/>
        </w:rPr>
      </w:pPr>
    </w:p>
    <w:p>
      <w:pPr>
        <w:pStyle w:val="7"/>
        <w:spacing w:line="360" w:lineRule="auto"/>
        <w:ind w:firstLine="723"/>
        <w:rPr>
          <w:rStyle w:val="38"/>
          <w:rFonts w:ascii="宋体" w:hAnsi="宋体" w:cs="宋体"/>
          <w:b w:val="0"/>
          <w:bCs/>
          <w:sz w:val="24"/>
          <w:szCs w:val="24"/>
          <w:highlight w:val="none"/>
        </w:rPr>
      </w:pPr>
      <w:bookmarkStart w:id="110" w:name="_Toc40254123"/>
      <w:r>
        <w:rPr>
          <w:rStyle w:val="38"/>
          <w:rFonts w:hint="eastAsia" w:ascii="宋体" w:hAnsi="宋体" w:cs="宋体"/>
          <w:b w:val="0"/>
          <w:bCs/>
          <w:sz w:val="24"/>
          <w:szCs w:val="24"/>
          <w:highlight w:val="none"/>
        </w:rPr>
        <w:t>2.2自控系统特殊技术要求</w:t>
      </w:r>
      <w:bookmarkEnd w:id="110"/>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2.2.1概述</w:t>
      </w:r>
    </w:p>
    <w:p>
      <w:pPr>
        <w:spacing w:line="360" w:lineRule="auto"/>
        <w:ind w:firstLine="480"/>
        <w:rPr>
          <w:rFonts w:ascii="宋体" w:hAnsi="宋体" w:cs="宋体"/>
          <w:sz w:val="24"/>
          <w:highlight w:val="none"/>
        </w:rPr>
      </w:pPr>
      <w:r>
        <w:rPr>
          <w:rFonts w:hint="eastAsia" w:ascii="宋体" w:hAnsi="宋体" w:cs="宋体"/>
          <w:sz w:val="24"/>
          <w:highlight w:val="none"/>
        </w:rPr>
        <w:t>所选的软、硬件产品应是目前世界上先进的主流产品。控制系统必须在严格的工业环境下长期、稳定地运行。系统组件的设计应符合真正的工业等级，满足国内、国际的安全标准。并且易配置、易接线、易维护、隔离性好，结构坚固，抗腐蚀，适应较宽的温度变化范围。系统应具备良好的电磁兼容性，能够承受工业环境的严格要求。</w:t>
      </w:r>
    </w:p>
    <w:p>
      <w:pPr>
        <w:spacing w:line="360" w:lineRule="auto"/>
        <w:ind w:firstLine="480"/>
        <w:rPr>
          <w:rFonts w:ascii="宋体" w:hAnsi="宋体" w:cs="宋体"/>
          <w:sz w:val="24"/>
          <w:highlight w:val="none"/>
        </w:rPr>
      </w:pPr>
      <w:r>
        <w:rPr>
          <w:rFonts w:hint="eastAsia" w:ascii="宋体" w:hAnsi="宋体" w:cs="宋体"/>
          <w:sz w:val="24"/>
          <w:highlight w:val="none"/>
        </w:rPr>
        <w:t>为了保证自动化控制系统兼容性，所选的上位机监控组态软件、PLC、触摸屏等必须选择同一牌子的产品。该牌子的组态软件及PLC在行业内应有广泛的应用业绩。</w:t>
      </w:r>
    </w:p>
    <w:p>
      <w:pPr>
        <w:pStyle w:val="3"/>
        <w:spacing w:line="360" w:lineRule="auto"/>
        <w:ind w:firstLine="480" w:firstLineChars="200"/>
        <w:rPr>
          <w:rFonts w:ascii="宋体" w:hAnsi="宋体" w:cs="宋体"/>
          <w:highlight w:val="none"/>
        </w:rPr>
      </w:pPr>
      <w:r>
        <w:rPr>
          <w:rFonts w:hint="eastAsia" w:ascii="宋体" w:hAnsi="宋体" w:cs="宋体"/>
          <w:highlight w:val="none"/>
        </w:rPr>
        <w:t>整套自控系统必须有较强的容错运行能力，单台仪表、单个现场PLC控制站、单台操作员站的故障、某个节点的通讯中断，不能致使整套自控系统故障停运，不能影响到全厂的运行。</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11" w:name="_Toc38389289"/>
      <w:r>
        <w:rPr>
          <w:rFonts w:hint="eastAsia" w:cs="宋体"/>
          <w:sz w:val="24"/>
          <w:szCs w:val="24"/>
          <w:highlight w:val="none"/>
        </w:rPr>
        <w:t>2.2.2自控系统防雷保护</w:t>
      </w:r>
      <w:bookmarkEnd w:id="111"/>
    </w:p>
    <w:p>
      <w:pPr>
        <w:spacing w:line="360" w:lineRule="auto"/>
        <w:ind w:firstLine="480"/>
        <w:rPr>
          <w:rFonts w:ascii="宋体" w:hAnsi="宋体" w:cs="宋体"/>
          <w:sz w:val="24"/>
          <w:highlight w:val="none"/>
        </w:rPr>
      </w:pPr>
      <w:r>
        <w:rPr>
          <w:rFonts w:hint="eastAsia" w:ascii="宋体" w:hAnsi="宋体" w:cs="宋体"/>
          <w:sz w:val="24"/>
          <w:highlight w:val="none"/>
        </w:rPr>
        <w:t>为了确保自控系统的可靠运行，自控系统的防雷保护严格按照《GB50057-2010 建筑物防雷设计规范》以及《GB50343-2012建筑物电子信息系统防雷技术规范》中对防雷、屏蔽、接地和等电位连接的要求，作好在线检测仪表以及自控系统的防雷以及建筑物内各电气设备的等电位连接。</w:t>
      </w:r>
    </w:p>
    <w:p>
      <w:pPr>
        <w:spacing w:line="360" w:lineRule="auto"/>
        <w:ind w:firstLine="480"/>
        <w:rPr>
          <w:rFonts w:ascii="宋体" w:hAnsi="宋体" w:cs="宋体"/>
          <w:sz w:val="24"/>
          <w:highlight w:val="none"/>
        </w:rPr>
      </w:pPr>
      <w:r>
        <w:rPr>
          <w:rFonts w:hint="eastAsia" w:ascii="宋体" w:hAnsi="宋体" w:cs="宋体"/>
          <w:sz w:val="24"/>
          <w:highlight w:val="none"/>
        </w:rPr>
        <w:t>投标人在防雷器件的选择上，应着重考虑浪涌保护器（SPD）在不影响系统正常运行的前提下，能够承受预期通过它们的雷电流和过电压，并完善的保护电子设备不受损坏。各设备的模拟量输入输出信号线、金属介质通讯总线等必须加装浪涌保护器（SPD）。</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12" w:name="_Toc38389290"/>
      <w:r>
        <w:rPr>
          <w:rFonts w:hint="eastAsia" w:cs="宋体"/>
          <w:sz w:val="24"/>
          <w:szCs w:val="24"/>
          <w:highlight w:val="none"/>
        </w:rPr>
        <w:t>2.2.3自控系统信号及保护要求</w:t>
      </w:r>
      <w:bookmarkEnd w:id="112"/>
    </w:p>
    <w:p>
      <w:pPr>
        <w:pStyle w:val="73"/>
        <w:spacing w:line="360" w:lineRule="auto"/>
        <w:ind w:left="561" w:firstLine="0" w:firstLineChars="0"/>
        <w:rPr>
          <w:rFonts w:ascii="宋体" w:hAnsi="宋体" w:cs="宋体"/>
          <w:sz w:val="24"/>
          <w:szCs w:val="24"/>
          <w:highlight w:val="none"/>
        </w:rPr>
      </w:pPr>
      <w:r>
        <w:rPr>
          <w:rFonts w:hint="eastAsia" w:ascii="宋体" w:hAnsi="宋体" w:cs="宋体"/>
          <w:sz w:val="24"/>
          <w:szCs w:val="24"/>
          <w:highlight w:val="none"/>
        </w:rPr>
        <w:t xml:space="preserve">·模拟量输入信号：0/4-20mA DC/+-10V； </w:t>
      </w:r>
    </w:p>
    <w:p>
      <w:pPr>
        <w:pStyle w:val="73"/>
        <w:spacing w:line="360" w:lineRule="auto"/>
        <w:ind w:left="561" w:firstLine="0" w:firstLineChars="0"/>
        <w:rPr>
          <w:rFonts w:ascii="宋体" w:hAnsi="宋体" w:cs="宋体"/>
          <w:sz w:val="24"/>
          <w:szCs w:val="24"/>
          <w:highlight w:val="none"/>
        </w:rPr>
      </w:pPr>
      <w:r>
        <w:rPr>
          <w:rFonts w:hint="eastAsia" w:ascii="宋体" w:hAnsi="宋体" w:cs="宋体"/>
          <w:sz w:val="24"/>
          <w:szCs w:val="24"/>
          <w:highlight w:val="none"/>
        </w:rPr>
        <w:t>·模拟量输出信号：0/4-20mA DC；</w:t>
      </w:r>
    </w:p>
    <w:p>
      <w:pPr>
        <w:pStyle w:val="73"/>
        <w:spacing w:line="360" w:lineRule="auto"/>
        <w:ind w:left="561" w:firstLine="0" w:firstLineChars="0"/>
        <w:rPr>
          <w:rFonts w:ascii="宋体" w:hAnsi="宋体" w:cs="宋体"/>
          <w:sz w:val="24"/>
          <w:szCs w:val="24"/>
          <w:highlight w:val="none"/>
        </w:rPr>
      </w:pPr>
      <w:r>
        <w:rPr>
          <w:rFonts w:hint="eastAsia" w:ascii="宋体" w:hAnsi="宋体" w:cs="宋体"/>
          <w:sz w:val="24"/>
          <w:szCs w:val="24"/>
          <w:highlight w:val="none"/>
        </w:rPr>
        <w:t>·每路模拟输入及输出信号均需使用信号隔离器+防浪涌(SPD)保护器。隔离器应为有源带配电功能，支持现场二线制及四线制仪表，防浪涌保护器能防护能力不小于</w:t>
      </w:r>
      <w:r>
        <w:rPr>
          <w:rFonts w:ascii="宋体" w:hAnsi="宋体" w:cs="宋体"/>
          <w:sz w:val="24"/>
          <w:szCs w:val="24"/>
          <w:highlight w:val="none"/>
        </w:rPr>
        <w:t>5</w:t>
      </w:r>
      <w:r>
        <w:rPr>
          <w:rFonts w:hint="eastAsia" w:ascii="宋体" w:hAnsi="宋体" w:cs="宋体"/>
          <w:sz w:val="24"/>
          <w:szCs w:val="24"/>
          <w:highlight w:val="none"/>
        </w:rPr>
        <w:t>KA；</w:t>
      </w:r>
    </w:p>
    <w:p>
      <w:pPr>
        <w:pStyle w:val="73"/>
        <w:spacing w:line="360" w:lineRule="auto"/>
        <w:ind w:left="561" w:firstLine="0" w:firstLineChars="0"/>
        <w:rPr>
          <w:rFonts w:ascii="宋体" w:hAnsi="宋体" w:cs="宋体"/>
          <w:sz w:val="24"/>
          <w:szCs w:val="24"/>
          <w:highlight w:val="none"/>
        </w:rPr>
      </w:pPr>
      <w:r>
        <w:rPr>
          <w:rFonts w:hint="eastAsia" w:ascii="宋体" w:hAnsi="宋体" w:cs="宋体"/>
          <w:sz w:val="24"/>
          <w:szCs w:val="24"/>
          <w:highlight w:val="none"/>
        </w:rPr>
        <w:t>·数字量输入信号：24VDC；高电平有效；</w:t>
      </w:r>
    </w:p>
    <w:p>
      <w:pPr>
        <w:pStyle w:val="73"/>
        <w:spacing w:line="360" w:lineRule="auto"/>
        <w:ind w:left="561" w:firstLine="0" w:firstLineChars="0"/>
        <w:rPr>
          <w:rFonts w:ascii="宋体" w:hAnsi="宋体" w:cs="宋体"/>
          <w:sz w:val="24"/>
          <w:szCs w:val="24"/>
          <w:highlight w:val="none"/>
        </w:rPr>
      </w:pPr>
      <w:r>
        <w:rPr>
          <w:rFonts w:hint="eastAsia" w:ascii="宋体" w:hAnsi="宋体" w:cs="宋体"/>
          <w:sz w:val="24"/>
          <w:szCs w:val="24"/>
          <w:highlight w:val="none"/>
        </w:rPr>
        <w:t>·数字量输出信号：24VDC，每路输出需加中间继电器隔离，连接继电器无源触点到端子排，触头容量 24VDC，5A/220VAC，5A；</w:t>
      </w:r>
    </w:p>
    <w:p>
      <w:pPr>
        <w:pStyle w:val="73"/>
        <w:spacing w:line="360" w:lineRule="auto"/>
        <w:ind w:left="561" w:firstLine="0" w:firstLineChars="0"/>
        <w:rPr>
          <w:rFonts w:ascii="宋体" w:hAnsi="宋体" w:cs="宋体"/>
          <w:sz w:val="24"/>
          <w:szCs w:val="24"/>
          <w:highlight w:val="none"/>
        </w:rPr>
      </w:pPr>
      <w:r>
        <w:rPr>
          <w:rFonts w:hint="eastAsia" w:ascii="宋体" w:hAnsi="宋体" w:cs="宋体"/>
          <w:sz w:val="24"/>
          <w:szCs w:val="24"/>
          <w:highlight w:val="none"/>
        </w:rPr>
        <w:t>·通讯：RS485、以太网，通讯链路需配置防浪涌保护模块；</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13" w:name="_Toc38389291"/>
      <w:r>
        <w:rPr>
          <w:rFonts w:hint="eastAsia" w:cs="宋体"/>
          <w:sz w:val="24"/>
          <w:szCs w:val="24"/>
          <w:highlight w:val="none"/>
        </w:rPr>
        <w:t>2.2.4自控电源系统技术要求</w:t>
      </w:r>
      <w:bookmarkEnd w:id="113"/>
    </w:p>
    <w:p>
      <w:pPr>
        <w:spacing w:line="360" w:lineRule="auto"/>
        <w:ind w:firstLine="480"/>
        <w:rPr>
          <w:rFonts w:ascii="宋体" w:hAnsi="宋体" w:cs="宋体"/>
          <w:sz w:val="24"/>
          <w:highlight w:val="none"/>
        </w:rPr>
      </w:pPr>
      <w:r>
        <w:rPr>
          <w:rFonts w:hint="eastAsia" w:ascii="宋体" w:hAnsi="宋体" w:cs="宋体"/>
          <w:sz w:val="24"/>
          <w:highlight w:val="none"/>
        </w:rPr>
        <w:t>所有PLC控制站及中控室设备进线电源均通过设置于现场的UPS电源进行供电，电源统一为单相AC220V。所有控制柜内应设电源防浪涌模块，防止雷击造成对设备的损害。</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14" w:name="_Toc38389292"/>
      <w:r>
        <w:rPr>
          <w:rFonts w:hint="eastAsia" w:cs="宋体"/>
          <w:sz w:val="24"/>
          <w:szCs w:val="24"/>
          <w:highlight w:val="none"/>
        </w:rPr>
        <w:t>2.2.5自控系统通讯网络</w:t>
      </w:r>
      <w:bookmarkEnd w:id="114"/>
    </w:p>
    <w:p>
      <w:pPr>
        <w:spacing w:line="360" w:lineRule="auto"/>
        <w:ind w:firstLine="480"/>
        <w:rPr>
          <w:rFonts w:ascii="宋体" w:hAnsi="宋体" w:cs="宋体"/>
          <w:sz w:val="24"/>
          <w:highlight w:val="none"/>
        </w:rPr>
      </w:pPr>
      <w:r>
        <w:rPr>
          <w:rFonts w:hint="eastAsia" w:ascii="宋体" w:hAnsi="宋体" w:cs="宋体"/>
          <w:sz w:val="24"/>
          <w:highlight w:val="none"/>
        </w:rPr>
        <w:t>通讯系统完成整个控制系统各站之间信息交换，将控制站及输入/输出接口采集的过程信号送往工作站显示、存储，将工作站的控制指令送往控制站，将控制站的输出信号送往各终端设备。</w:t>
      </w:r>
    </w:p>
    <w:p>
      <w:pPr>
        <w:spacing w:line="360" w:lineRule="auto"/>
        <w:ind w:firstLine="480"/>
        <w:rPr>
          <w:rFonts w:ascii="宋体" w:hAnsi="宋体" w:cs="宋体"/>
          <w:sz w:val="24"/>
          <w:highlight w:val="none"/>
        </w:rPr>
      </w:pPr>
      <w:r>
        <w:rPr>
          <w:rFonts w:hint="eastAsia" w:ascii="宋体" w:hAnsi="宋体" w:cs="宋体"/>
          <w:sz w:val="24"/>
          <w:highlight w:val="none"/>
        </w:rPr>
        <w:t>控制系统应具有数字化通讯网络，该网络为各操作员站、控制和数据处理系统、以及其它设备之间提供可靠的高速数据传送。</w:t>
      </w:r>
    </w:p>
    <w:p>
      <w:pPr>
        <w:spacing w:line="360" w:lineRule="auto"/>
        <w:ind w:firstLine="480"/>
        <w:rPr>
          <w:rFonts w:ascii="宋体" w:hAnsi="宋体" w:cs="宋体"/>
          <w:sz w:val="24"/>
          <w:highlight w:val="none"/>
        </w:rPr>
      </w:pPr>
      <w:r>
        <w:rPr>
          <w:rFonts w:hint="eastAsia" w:ascii="宋体" w:hAnsi="宋体" w:cs="宋体"/>
          <w:sz w:val="24"/>
          <w:highlight w:val="none"/>
        </w:rPr>
        <w:t>通讯网络要求使用工业以太网配置，即任意一处断点，均不能影响其它站点的通讯。通讯介质采用光纤。</w:t>
      </w:r>
    </w:p>
    <w:p>
      <w:pPr>
        <w:spacing w:line="360" w:lineRule="auto"/>
        <w:ind w:firstLine="480"/>
        <w:rPr>
          <w:rFonts w:ascii="宋体" w:hAnsi="宋体" w:cs="宋体"/>
          <w:sz w:val="24"/>
          <w:highlight w:val="none"/>
        </w:rPr>
      </w:pP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15" w:name="_Toc38389293"/>
      <w:r>
        <w:rPr>
          <w:rFonts w:hint="eastAsia" w:cs="宋体"/>
          <w:sz w:val="24"/>
          <w:szCs w:val="24"/>
          <w:highlight w:val="none"/>
        </w:rPr>
        <w:t>2.2.6PLC控制柜技术要求</w:t>
      </w:r>
      <w:bookmarkEnd w:id="115"/>
    </w:p>
    <w:p>
      <w:pPr>
        <w:pStyle w:val="73"/>
        <w:spacing w:line="360" w:lineRule="auto"/>
        <w:ind w:left="480" w:firstLine="0" w:firstLineChars="0"/>
        <w:rPr>
          <w:rFonts w:ascii="宋体" w:hAnsi="宋体" w:cs="宋体"/>
          <w:sz w:val="24"/>
          <w:szCs w:val="24"/>
          <w:highlight w:val="none"/>
          <w:lang w:val="zh-CN"/>
        </w:rPr>
      </w:pPr>
      <w:r>
        <w:rPr>
          <w:rFonts w:hint="eastAsia" w:ascii="宋体" w:hAnsi="宋体" w:cs="宋体"/>
          <w:sz w:val="24"/>
          <w:szCs w:val="24"/>
          <w:highlight w:val="none"/>
        </w:rPr>
        <w:t>·</w:t>
      </w:r>
      <w:r>
        <w:rPr>
          <w:rFonts w:hint="eastAsia" w:ascii="宋体" w:hAnsi="宋体" w:cs="宋体"/>
          <w:sz w:val="24"/>
          <w:szCs w:val="24"/>
          <w:highlight w:val="none"/>
          <w:lang w:val="zh-CN"/>
        </w:rPr>
        <w:t>柜内接线使用阻燃性或耐火型绝缘材料的标准导线；</w:t>
      </w:r>
    </w:p>
    <w:p>
      <w:pPr>
        <w:pStyle w:val="73"/>
        <w:spacing w:line="360" w:lineRule="auto"/>
        <w:ind w:left="480" w:firstLine="0" w:firstLineChars="0"/>
        <w:rPr>
          <w:rFonts w:ascii="宋体" w:hAnsi="宋体" w:cs="宋体"/>
          <w:sz w:val="24"/>
          <w:szCs w:val="24"/>
          <w:highlight w:val="none"/>
          <w:lang w:val="zh-CN"/>
        </w:rPr>
      </w:pPr>
      <w:r>
        <w:rPr>
          <w:rFonts w:hint="eastAsia" w:ascii="宋体" w:hAnsi="宋体" w:cs="宋体"/>
          <w:sz w:val="24"/>
          <w:szCs w:val="24"/>
          <w:highlight w:val="none"/>
        </w:rPr>
        <w:t>·</w:t>
      </w:r>
      <w:r>
        <w:rPr>
          <w:rFonts w:hint="eastAsia" w:ascii="宋体" w:hAnsi="宋体" w:cs="宋体"/>
          <w:sz w:val="24"/>
          <w:szCs w:val="24"/>
          <w:highlight w:val="none"/>
          <w:lang w:val="zh-CN"/>
        </w:rPr>
        <w:t>所有的接线用防火型槽管保护。如果是外露的导线束在一起，用适当的夹子固定或支持，走向应水平或垂直，导线在槽管中所占空间不得超过70％；</w:t>
      </w:r>
    </w:p>
    <w:p>
      <w:pPr>
        <w:pStyle w:val="73"/>
        <w:spacing w:line="360" w:lineRule="auto"/>
        <w:ind w:left="480" w:firstLine="0" w:firstLineChars="0"/>
        <w:rPr>
          <w:rFonts w:ascii="宋体" w:hAnsi="宋体" w:cs="宋体"/>
          <w:sz w:val="24"/>
          <w:szCs w:val="24"/>
          <w:highlight w:val="none"/>
          <w:lang w:val="zh-CN"/>
        </w:rPr>
      </w:pPr>
      <w:r>
        <w:rPr>
          <w:rFonts w:hint="eastAsia" w:ascii="宋体" w:hAnsi="宋体" w:cs="宋体"/>
          <w:sz w:val="24"/>
          <w:szCs w:val="24"/>
          <w:highlight w:val="none"/>
        </w:rPr>
        <w:t>·</w:t>
      </w:r>
      <w:r>
        <w:rPr>
          <w:rFonts w:hint="eastAsia" w:ascii="宋体" w:hAnsi="宋体" w:cs="宋体"/>
          <w:sz w:val="24"/>
          <w:szCs w:val="24"/>
          <w:highlight w:val="none"/>
          <w:lang w:val="zh-CN"/>
        </w:rPr>
        <w:t>柜内端子应为凹式，螺丝固定型；</w:t>
      </w:r>
    </w:p>
    <w:p>
      <w:pPr>
        <w:pStyle w:val="73"/>
        <w:spacing w:line="360" w:lineRule="auto"/>
        <w:ind w:left="480" w:firstLine="0" w:firstLineChars="0"/>
        <w:rPr>
          <w:rFonts w:ascii="宋体" w:hAnsi="宋体" w:cs="宋体"/>
          <w:sz w:val="24"/>
          <w:szCs w:val="24"/>
          <w:highlight w:val="none"/>
          <w:lang w:val="zh-CN"/>
        </w:rPr>
      </w:pPr>
      <w:r>
        <w:rPr>
          <w:rFonts w:hint="eastAsia" w:ascii="宋体" w:hAnsi="宋体" w:cs="宋体"/>
          <w:sz w:val="24"/>
          <w:szCs w:val="24"/>
          <w:highlight w:val="none"/>
        </w:rPr>
        <w:t>·</w:t>
      </w:r>
      <w:r>
        <w:rPr>
          <w:rFonts w:hint="eastAsia" w:ascii="宋体" w:hAnsi="宋体" w:cs="宋体"/>
          <w:sz w:val="24"/>
          <w:szCs w:val="24"/>
          <w:highlight w:val="none"/>
          <w:lang w:val="zh-CN"/>
        </w:rPr>
        <w:t>接线端子排的安装牢固，空间布局合理，与外部连接应有足够操作空间；</w:t>
      </w:r>
    </w:p>
    <w:p>
      <w:pPr>
        <w:pStyle w:val="73"/>
        <w:spacing w:line="360" w:lineRule="auto"/>
        <w:ind w:left="480" w:firstLine="0" w:firstLineChars="0"/>
        <w:rPr>
          <w:rFonts w:ascii="宋体" w:hAnsi="宋体" w:cs="宋体"/>
          <w:sz w:val="24"/>
          <w:szCs w:val="24"/>
          <w:highlight w:val="none"/>
          <w:lang w:val="zh-CN"/>
        </w:rPr>
      </w:pPr>
      <w:r>
        <w:rPr>
          <w:rFonts w:hint="eastAsia" w:ascii="宋体" w:hAnsi="宋体" w:cs="宋体"/>
          <w:sz w:val="24"/>
          <w:szCs w:val="24"/>
          <w:highlight w:val="none"/>
        </w:rPr>
        <w:t>·</w:t>
      </w:r>
      <w:r>
        <w:rPr>
          <w:rFonts w:hint="eastAsia" w:ascii="宋体" w:hAnsi="宋体" w:cs="宋体"/>
          <w:sz w:val="24"/>
          <w:szCs w:val="24"/>
          <w:highlight w:val="none"/>
          <w:lang w:val="zh-CN"/>
        </w:rPr>
        <w:t>盘柜内导线没有接头，导线芯线应无损伤；电缆芯线和所配导线的端部均应</w:t>
      </w:r>
      <w:r>
        <w:rPr>
          <w:rFonts w:hint="eastAsia" w:ascii="宋体" w:hAnsi="宋体" w:cs="宋体"/>
          <w:sz w:val="24"/>
          <w:szCs w:val="24"/>
          <w:highlight w:val="none"/>
        </w:rPr>
        <w:t>套上打印清晰的标记号管</w:t>
      </w:r>
      <w:r>
        <w:rPr>
          <w:rFonts w:hint="eastAsia" w:ascii="宋体" w:hAnsi="宋体" w:cs="宋体"/>
          <w:sz w:val="24"/>
          <w:szCs w:val="24"/>
          <w:highlight w:val="none"/>
          <w:lang w:val="zh-CN"/>
        </w:rPr>
        <w:t>，字迹清晰不脱色；</w:t>
      </w:r>
    </w:p>
    <w:p>
      <w:pPr>
        <w:pStyle w:val="73"/>
        <w:spacing w:line="360" w:lineRule="auto"/>
        <w:ind w:left="480" w:firstLine="0" w:firstLineChars="0"/>
        <w:rPr>
          <w:rFonts w:ascii="宋体" w:hAnsi="宋体" w:cs="宋体"/>
          <w:sz w:val="24"/>
          <w:szCs w:val="24"/>
          <w:highlight w:val="none"/>
          <w:lang w:val="zh-CN"/>
        </w:rPr>
      </w:pPr>
      <w:r>
        <w:rPr>
          <w:rFonts w:hint="eastAsia" w:ascii="宋体" w:hAnsi="宋体" w:cs="宋体"/>
          <w:sz w:val="24"/>
          <w:szCs w:val="24"/>
          <w:highlight w:val="none"/>
        </w:rPr>
        <w:t>·</w:t>
      </w:r>
      <w:r>
        <w:rPr>
          <w:rFonts w:hint="eastAsia" w:ascii="宋体" w:hAnsi="宋体" w:cs="宋体"/>
          <w:sz w:val="24"/>
          <w:szCs w:val="24"/>
          <w:highlight w:val="none"/>
          <w:lang w:val="zh-CN"/>
        </w:rPr>
        <w:t>多股芯导线端头采用接线鼻子，导线与接线鼻子的连接压接或焊接，连线处均匀牢固，导电良好，不得松股、断股；</w:t>
      </w:r>
    </w:p>
    <w:p>
      <w:pPr>
        <w:pStyle w:val="73"/>
        <w:spacing w:line="360" w:lineRule="auto"/>
        <w:ind w:left="480" w:firstLine="0" w:firstLineChars="0"/>
        <w:rPr>
          <w:rFonts w:ascii="宋体" w:hAnsi="宋体" w:cs="宋体"/>
          <w:sz w:val="24"/>
          <w:szCs w:val="24"/>
          <w:highlight w:val="none"/>
          <w:lang w:val="zh-CN"/>
        </w:rPr>
      </w:pPr>
      <w:r>
        <w:rPr>
          <w:rFonts w:hint="eastAsia" w:ascii="宋体" w:hAnsi="宋体" w:cs="宋体"/>
          <w:sz w:val="24"/>
          <w:szCs w:val="24"/>
          <w:highlight w:val="none"/>
        </w:rPr>
        <w:t>·</w:t>
      </w:r>
      <w:r>
        <w:rPr>
          <w:rFonts w:hint="eastAsia" w:ascii="宋体" w:hAnsi="宋体" w:cs="宋体"/>
          <w:sz w:val="24"/>
          <w:szCs w:val="24"/>
          <w:highlight w:val="none"/>
          <w:lang w:val="zh-CN"/>
        </w:rPr>
        <w:t>电缆(线)端子的连接处牢固并留有适当的余度；</w:t>
      </w:r>
    </w:p>
    <w:p>
      <w:pPr>
        <w:pStyle w:val="73"/>
        <w:spacing w:line="360" w:lineRule="auto"/>
        <w:ind w:left="480" w:firstLine="0" w:firstLineChars="0"/>
        <w:rPr>
          <w:rFonts w:ascii="宋体" w:hAnsi="宋体" w:cs="宋体"/>
          <w:sz w:val="24"/>
          <w:szCs w:val="24"/>
          <w:highlight w:val="none"/>
          <w:lang w:val="zh-CN"/>
        </w:rPr>
      </w:pPr>
      <w:r>
        <w:rPr>
          <w:rFonts w:hint="eastAsia" w:ascii="宋体" w:hAnsi="宋体" w:cs="宋体"/>
          <w:sz w:val="24"/>
          <w:szCs w:val="24"/>
          <w:highlight w:val="none"/>
        </w:rPr>
        <w:t>·</w:t>
      </w:r>
      <w:r>
        <w:rPr>
          <w:rFonts w:hint="eastAsia" w:ascii="宋体" w:hAnsi="宋体" w:cs="宋体"/>
          <w:sz w:val="24"/>
          <w:szCs w:val="24"/>
          <w:highlight w:val="none"/>
          <w:lang w:val="zh-CN"/>
        </w:rPr>
        <w:t>每个接线端子的每侧接线不超过两根；对于插接式端子，不同截面的两根导线不接在同一端子上；</w:t>
      </w:r>
    </w:p>
    <w:p>
      <w:pPr>
        <w:pStyle w:val="73"/>
        <w:spacing w:line="360" w:lineRule="auto"/>
        <w:ind w:left="480" w:firstLine="0" w:firstLineChars="0"/>
        <w:rPr>
          <w:rFonts w:ascii="宋体" w:hAnsi="宋体" w:cs="宋体"/>
          <w:sz w:val="24"/>
          <w:szCs w:val="24"/>
          <w:highlight w:val="none"/>
          <w:lang w:val="zh-CN"/>
        </w:rPr>
      </w:pPr>
      <w:r>
        <w:rPr>
          <w:rFonts w:hint="eastAsia" w:ascii="宋体" w:hAnsi="宋体" w:cs="宋体"/>
          <w:sz w:val="24"/>
          <w:szCs w:val="24"/>
          <w:highlight w:val="none"/>
        </w:rPr>
        <w:t>·</w:t>
      </w:r>
      <w:r>
        <w:rPr>
          <w:rFonts w:hint="eastAsia" w:ascii="宋体" w:hAnsi="宋体" w:cs="宋体"/>
          <w:sz w:val="24"/>
          <w:szCs w:val="24"/>
          <w:highlight w:val="none"/>
          <w:lang w:val="zh-CN"/>
        </w:rPr>
        <w:t>引进盘柜的电缆及芯线应排列整齐，固定牢靠。不使所接的端子排受力，强、弱电回路不应使用同一根电缆，分别成束排列。接线应正确；排列整齐、美观；</w:t>
      </w:r>
    </w:p>
    <w:p>
      <w:pPr>
        <w:pStyle w:val="73"/>
        <w:spacing w:line="360" w:lineRule="auto"/>
        <w:ind w:left="480" w:firstLine="0" w:firstLineChars="0"/>
        <w:rPr>
          <w:rFonts w:ascii="宋体" w:hAnsi="宋体" w:cs="宋体"/>
          <w:sz w:val="24"/>
          <w:szCs w:val="24"/>
          <w:highlight w:val="none"/>
          <w:lang w:val="zh-CN"/>
        </w:rPr>
      </w:pPr>
      <w:r>
        <w:rPr>
          <w:rFonts w:hint="eastAsia" w:ascii="宋体" w:hAnsi="宋体" w:cs="宋体"/>
          <w:sz w:val="24"/>
          <w:szCs w:val="24"/>
          <w:highlight w:val="none"/>
        </w:rPr>
        <w:t>·</w:t>
      </w:r>
      <w:r>
        <w:rPr>
          <w:rFonts w:hint="eastAsia" w:ascii="宋体" w:hAnsi="宋体" w:cs="宋体"/>
          <w:sz w:val="24"/>
          <w:szCs w:val="24"/>
          <w:highlight w:val="none"/>
          <w:lang w:val="zh-CN"/>
        </w:rPr>
        <w:t>可动部位(门、面板)导线采用多股软线。敷设长度应有适当余量，线束有外套塑料管等加强绝缘层；</w:t>
      </w:r>
    </w:p>
    <w:p>
      <w:pPr>
        <w:pStyle w:val="73"/>
        <w:spacing w:line="360" w:lineRule="auto"/>
        <w:ind w:left="480" w:firstLine="0" w:firstLineChars="0"/>
        <w:rPr>
          <w:rFonts w:ascii="宋体" w:hAnsi="宋体" w:cs="宋体"/>
          <w:b/>
          <w:sz w:val="24"/>
          <w:szCs w:val="24"/>
          <w:highlight w:val="none"/>
        </w:rPr>
      </w:pPr>
      <w:r>
        <w:rPr>
          <w:rFonts w:hint="eastAsia" w:ascii="宋体" w:hAnsi="宋体" w:cs="宋体"/>
          <w:sz w:val="24"/>
          <w:szCs w:val="24"/>
          <w:highlight w:val="none"/>
        </w:rPr>
        <w:t>·柜内元器件布置应该整齐，空间合理，每个元件应按图中编号贴上打印标签，</w:t>
      </w:r>
      <w:r>
        <w:rPr>
          <w:rFonts w:hint="eastAsia" w:ascii="宋体" w:hAnsi="宋体" w:cs="宋体"/>
          <w:sz w:val="24"/>
          <w:szCs w:val="24"/>
          <w:highlight w:val="none"/>
          <w:lang w:val="zh-CN"/>
        </w:rPr>
        <w:t>字迹清晰不脱色</w:t>
      </w:r>
      <w:r>
        <w:rPr>
          <w:rFonts w:hint="eastAsia" w:ascii="宋体" w:hAnsi="宋体" w:cs="宋体"/>
          <w:sz w:val="24"/>
          <w:szCs w:val="24"/>
          <w:highlight w:val="none"/>
        </w:rPr>
        <w:t xml:space="preserve">； </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16" w:name="_Toc38389294"/>
      <w:r>
        <w:rPr>
          <w:rFonts w:hint="eastAsia" w:cs="宋体"/>
          <w:sz w:val="24"/>
          <w:szCs w:val="24"/>
          <w:highlight w:val="none"/>
        </w:rPr>
        <w:t>2.2.7PLC硬件技术参数</w:t>
      </w:r>
      <w:bookmarkEnd w:id="116"/>
    </w:p>
    <w:p>
      <w:pPr>
        <w:pStyle w:val="9"/>
        <w:spacing w:line="360" w:lineRule="auto"/>
        <w:rPr>
          <w:rFonts w:ascii="宋体" w:hAnsi="宋体" w:cs="宋体"/>
          <w:sz w:val="24"/>
          <w:szCs w:val="24"/>
          <w:highlight w:val="none"/>
        </w:rPr>
      </w:pPr>
      <w:bookmarkStart w:id="117" w:name="_Toc38389295"/>
      <w:r>
        <w:rPr>
          <w:rFonts w:hint="eastAsia" w:ascii="宋体" w:hAnsi="宋体" w:cs="宋体"/>
          <w:sz w:val="24"/>
          <w:szCs w:val="24"/>
          <w:highlight w:val="none"/>
        </w:rPr>
        <w:t>2.2.7.1 PLC硬件参数要求</w:t>
      </w:r>
      <w:bookmarkEnd w:id="117"/>
    </w:p>
    <w:p>
      <w:pPr>
        <w:spacing w:line="360" w:lineRule="auto"/>
        <w:ind w:firstLine="480"/>
        <w:rPr>
          <w:rFonts w:ascii="宋体" w:hAnsi="宋体" w:cs="宋体"/>
          <w:sz w:val="24"/>
          <w:highlight w:val="none"/>
        </w:rPr>
      </w:pPr>
      <w:r>
        <w:rPr>
          <w:rFonts w:hint="eastAsia" w:ascii="宋体" w:hAnsi="宋体" w:cs="宋体"/>
          <w:sz w:val="24"/>
          <w:highlight w:val="none"/>
        </w:rPr>
        <w:t>★所选用PLC为中大型PLC系统（不接受使用微型、小型PLC），稳定、可靠，适应本工程的环境，与上位机监控组态软件同一牌子产品，PLC控制站均必须至少配备CPU、 DI、DO、AI、AO、串口通讯、以太网通讯接口。CPU档次不能低于Rockwell contrologix 1756-L61或Schneider Quantum 140CPU65160或SIEMENS S7-1500（提供产品彩页或官网资料截图）</w:t>
      </w:r>
    </w:p>
    <w:p>
      <w:pPr>
        <w:spacing w:line="360" w:lineRule="auto"/>
        <w:ind w:firstLine="480"/>
        <w:rPr>
          <w:rFonts w:ascii="宋体" w:hAnsi="宋体" w:cs="宋体"/>
          <w:sz w:val="24"/>
          <w:highlight w:val="none"/>
        </w:rPr>
      </w:pPr>
      <w:r>
        <w:rPr>
          <w:rFonts w:hint="eastAsia" w:ascii="宋体" w:hAnsi="宋体" w:cs="宋体"/>
          <w:sz w:val="24"/>
          <w:highlight w:val="none"/>
        </w:rPr>
        <w:t>同时应满足以下基本要求：</w:t>
      </w:r>
    </w:p>
    <w:p>
      <w:pPr>
        <w:pStyle w:val="73"/>
        <w:spacing w:line="360" w:lineRule="auto"/>
        <w:ind w:left="480" w:firstLine="0" w:firstLineChars="0"/>
        <w:rPr>
          <w:rFonts w:ascii="宋体" w:hAnsi="宋体" w:cs="宋体"/>
          <w:sz w:val="24"/>
          <w:szCs w:val="24"/>
          <w:highlight w:val="none"/>
        </w:rPr>
      </w:pPr>
      <w:r>
        <w:rPr>
          <w:rFonts w:hint="eastAsia" w:ascii="宋体" w:hAnsi="宋体" w:cs="宋体"/>
          <w:sz w:val="24"/>
          <w:szCs w:val="24"/>
          <w:highlight w:val="none"/>
        </w:rPr>
        <w:t>·中大型模块化的PLC系统；</w:t>
      </w:r>
    </w:p>
    <w:p>
      <w:pPr>
        <w:pStyle w:val="73"/>
        <w:spacing w:line="360" w:lineRule="auto"/>
        <w:ind w:left="480" w:firstLine="0" w:firstLineChars="0"/>
        <w:rPr>
          <w:rFonts w:ascii="宋体" w:hAnsi="宋体" w:cs="宋体"/>
          <w:sz w:val="24"/>
          <w:szCs w:val="24"/>
          <w:highlight w:val="none"/>
        </w:rPr>
      </w:pPr>
      <w:r>
        <w:rPr>
          <w:rFonts w:hint="eastAsia" w:ascii="宋体" w:hAnsi="宋体" w:cs="宋体"/>
          <w:sz w:val="24"/>
          <w:szCs w:val="24"/>
          <w:highlight w:val="none"/>
        </w:rPr>
        <w:t>·模块体积小巧，无风扇的简易设计，节省安装空间；</w:t>
      </w:r>
    </w:p>
    <w:p>
      <w:pPr>
        <w:pStyle w:val="73"/>
        <w:spacing w:line="360" w:lineRule="auto"/>
        <w:ind w:left="480" w:firstLine="0" w:firstLineChars="0"/>
        <w:rPr>
          <w:rFonts w:ascii="宋体" w:hAnsi="宋体" w:cs="宋体"/>
          <w:sz w:val="24"/>
          <w:szCs w:val="24"/>
          <w:highlight w:val="none"/>
        </w:rPr>
      </w:pPr>
      <w:r>
        <w:rPr>
          <w:rFonts w:hint="eastAsia" w:ascii="宋体" w:hAnsi="宋体" w:cs="宋体"/>
          <w:sz w:val="24"/>
          <w:szCs w:val="24"/>
          <w:highlight w:val="none"/>
        </w:rPr>
        <w:t>·各种功能模块多样化，满足和适应各种自动化控制任务；</w:t>
      </w:r>
    </w:p>
    <w:p>
      <w:pPr>
        <w:pStyle w:val="73"/>
        <w:spacing w:line="360" w:lineRule="auto"/>
        <w:ind w:left="480" w:firstLine="0" w:firstLineChars="0"/>
        <w:rPr>
          <w:rFonts w:ascii="宋体" w:hAnsi="宋体" w:cs="宋体"/>
          <w:sz w:val="24"/>
          <w:szCs w:val="24"/>
          <w:highlight w:val="none"/>
        </w:rPr>
      </w:pPr>
      <w:r>
        <w:rPr>
          <w:rFonts w:hint="eastAsia" w:ascii="宋体" w:hAnsi="宋体" w:cs="宋体"/>
          <w:sz w:val="24"/>
          <w:szCs w:val="24"/>
          <w:highlight w:val="none"/>
        </w:rPr>
        <w:t>·控制任务增加时，可自由扩展；</w:t>
      </w:r>
    </w:p>
    <w:p>
      <w:pPr>
        <w:pStyle w:val="73"/>
        <w:spacing w:line="360" w:lineRule="auto"/>
        <w:ind w:left="480" w:firstLine="0" w:firstLineChars="0"/>
        <w:rPr>
          <w:rFonts w:ascii="宋体" w:hAnsi="宋体" w:cs="宋体"/>
          <w:sz w:val="24"/>
          <w:szCs w:val="24"/>
          <w:highlight w:val="none"/>
        </w:rPr>
      </w:pPr>
      <w:r>
        <w:rPr>
          <w:rFonts w:hint="eastAsia" w:ascii="宋体" w:hAnsi="宋体" w:cs="宋体"/>
          <w:sz w:val="24"/>
          <w:szCs w:val="24"/>
          <w:highlight w:val="none"/>
        </w:rPr>
        <w:t>·国际标准扩展总线、开放式网络通讯功能；</w:t>
      </w:r>
    </w:p>
    <w:p>
      <w:pPr>
        <w:pStyle w:val="73"/>
        <w:spacing w:line="360" w:lineRule="auto"/>
        <w:ind w:left="480" w:firstLine="0" w:firstLineChars="0"/>
        <w:rPr>
          <w:rFonts w:ascii="宋体" w:hAnsi="宋体" w:cs="宋体"/>
          <w:sz w:val="24"/>
          <w:szCs w:val="24"/>
          <w:highlight w:val="none"/>
        </w:rPr>
      </w:pPr>
      <w:r>
        <w:rPr>
          <w:rFonts w:hint="eastAsia" w:ascii="宋体" w:hAnsi="宋体" w:cs="宋体"/>
          <w:sz w:val="24"/>
          <w:szCs w:val="24"/>
          <w:highlight w:val="none"/>
        </w:rPr>
        <w:t>·模块的插拔应有导轨固定；</w:t>
      </w:r>
    </w:p>
    <w:p>
      <w:pPr>
        <w:pStyle w:val="73"/>
        <w:spacing w:line="360" w:lineRule="auto"/>
        <w:ind w:left="480" w:firstLine="0" w:firstLineChars="0"/>
        <w:rPr>
          <w:rFonts w:ascii="宋体" w:hAnsi="宋体" w:cs="宋体"/>
          <w:sz w:val="24"/>
          <w:szCs w:val="24"/>
          <w:highlight w:val="none"/>
        </w:rPr>
      </w:pPr>
      <w:r>
        <w:rPr>
          <w:rFonts w:hint="eastAsia" w:ascii="宋体" w:hAnsi="宋体" w:cs="宋体"/>
          <w:sz w:val="24"/>
          <w:szCs w:val="24"/>
          <w:highlight w:val="none"/>
        </w:rPr>
        <w:t>·系统应能在电子噪声、射频干扰及振动都很大的现场环境中连续进行，且不降低系统的性能；</w:t>
      </w:r>
    </w:p>
    <w:p>
      <w:pPr>
        <w:pStyle w:val="73"/>
        <w:spacing w:line="360" w:lineRule="auto"/>
        <w:ind w:left="480" w:firstLine="0" w:firstLineChars="0"/>
        <w:rPr>
          <w:rFonts w:ascii="宋体" w:hAnsi="宋体" w:cs="宋体"/>
          <w:sz w:val="24"/>
          <w:szCs w:val="24"/>
          <w:highlight w:val="none"/>
        </w:rPr>
      </w:pPr>
      <w:r>
        <w:rPr>
          <w:rFonts w:hint="eastAsia" w:ascii="宋体" w:hAnsi="宋体" w:cs="宋体"/>
          <w:sz w:val="24"/>
          <w:szCs w:val="24"/>
          <w:highlight w:val="none"/>
        </w:rPr>
        <w:t>·系统设计应采用各种抗噪声技术、包括光电隔离、高共模抑制比、合理的接地和屏蔽；</w:t>
      </w:r>
    </w:p>
    <w:p>
      <w:pPr>
        <w:pStyle w:val="73"/>
        <w:spacing w:line="360" w:lineRule="auto"/>
        <w:ind w:left="480" w:firstLine="0" w:firstLineChars="0"/>
        <w:rPr>
          <w:rFonts w:ascii="宋体" w:hAnsi="宋体" w:cs="宋体"/>
          <w:sz w:val="24"/>
          <w:szCs w:val="24"/>
          <w:highlight w:val="none"/>
        </w:rPr>
      </w:pPr>
      <w:r>
        <w:rPr>
          <w:rFonts w:hint="eastAsia" w:ascii="宋体" w:hAnsi="宋体" w:cs="宋体"/>
          <w:sz w:val="24"/>
          <w:szCs w:val="24"/>
          <w:highlight w:val="none"/>
        </w:rPr>
        <w:t xml:space="preserve">·CPU及I/O模块带有故障诊断功能； </w:t>
      </w:r>
    </w:p>
    <w:p>
      <w:pPr>
        <w:pStyle w:val="9"/>
        <w:spacing w:line="360" w:lineRule="auto"/>
        <w:rPr>
          <w:rFonts w:ascii="宋体" w:hAnsi="宋体" w:cs="宋体"/>
          <w:sz w:val="24"/>
          <w:szCs w:val="24"/>
          <w:highlight w:val="none"/>
        </w:rPr>
      </w:pPr>
      <w:bookmarkStart w:id="118" w:name="_Toc38389296"/>
      <w:r>
        <w:rPr>
          <w:rFonts w:hint="eastAsia" w:ascii="宋体" w:hAnsi="宋体" w:cs="宋体"/>
          <w:sz w:val="24"/>
          <w:szCs w:val="24"/>
          <w:highlight w:val="none"/>
        </w:rPr>
        <w:t>2.2.7.2 PLC-CPU技术参数</w:t>
      </w:r>
      <w:bookmarkEnd w:id="118"/>
    </w:p>
    <w:p>
      <w:pPr>
        <w:spacing w:line="360" w:lineRule="auto"/>
        <w:ind w:firstLine="480"/>
        <w:rPr>
          <w:rFonts w:ascii="宋体" w:hAnsi="宋体" w:cs="宋体"/>
          <w:sz w:val="24"/>
          <w:highlight w:val="none"/>
        </w:rPr>
      </w:pPr>
      <w:r>
        <w:rPr>
          <w:rFonts w:hint="eastAsia" w:ascii="宋体" w:hAnsi="宋体" w:cs="宋体"/>
          <w:sz w:val="24"/>
          <w:highlight w:val="none"/>
        </w:rPr>
        <w:t>·工作温度：0-60℃；</w:t>
      </w:r>
    </w:p>
    <w:p>
      <w:pPr>
        <w:spacing w:line="360" w:lineRule="auto"/>
        <w:ind w:firstLine="480"/>
        <w:rPr>
          <w:rFonts w:ascii="宋体" w:hAnsi="宋体" w:cs="宋体"/>
          <w:sz w:val="24"/>
          <w:highlight w:val="none"/>
        </w:rPr>
      </w:pPr>
      <w:r>
        <w:rPr>
          <w:rFonts w:hint="eastAsia" w:ascii="宋体" w:hAnsi="宋体" w:cs="宋体"/>
          <w:sz w:val="24"/>
          <w:highlight w:val="none"/>
        </w:rPr>
        <w:t>·工作湿度：&gt;=95%</w:t>
      </w:r>
    </w:p>
    <w:p>
      <w:pPr>
        <w:spacing w:line="360" w:lineRule="auto"/>
        <w:ind w:firstLine="480"/>
        <w:rPr>
          <w:rFonts w:ascii="宋体" w:hAnsi="宋体" w:cs="宋体"/>
          <w:sz w:val="24"/>
          <w:highlight w:val="none"/>
        </w:rPr>
      </w:pPr>
      <w:r>
        <w:rPr>
          <w:rFonts w:hint="eastAsia" w:ascii="宋体" w:hAnsi="宋体" w:cs="宋体"/>
          <w:sz w:val="24"/>
          <w:highlight w:val="none"/>
        </w:rPr>
        <w:t>·工作电压：DC24V；</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用户程序保存方式：存储于微型存储卡，无需后备电池保持，用户程序永不丢失；（提供产品彩页或官网资料截图）</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·微型存储卡容量：&gt;=8MB</w:t>
      </w:r>
    </w:p>
    <w:p>
      <w:pPr>
        <w:spacing w:line="360" w:lineRule="auto"/>
        <w:ind w:firstLine="480"/>
        <w:rPr>
          <w:rFonts w:ascii="宋体" w:hAnsi="宋体" w:cs="宋体"/>
          <w:sz w:val="24"/>
          <w:highlight w:val="none"/>
        </w:rPr>
      </w:pPr>
      <w:r>
        <w:rPr>
          <w:rFonts w:hint="eastAsia" w:ascii="宋体" w:hAnsi="宋体" w:cs="宋体"/>
          <w:sz w:val="24"/>
          <w:highlight w:val="none"/>
        </w:rPr>
        <w:t>·掉电数据保持功能；</w:t>
      </w:r>
    </w:p>
    <w:p>
      <w:pPr>
        <w:spacing w:line="360" w:lineRule="auto"/>
        <w:ind w:firstLine="480"/>
        <w:rPr>
          <w:rFonts w:ascii="宋体" w:hAnsi="宋体" w:cs="宋体"/>
          <w:sz w:val="24"/>
          <w:highlight w:val="none"/>
        </w:rPr>
      </w:pPr>
      <w:r>
        <w:rPr>
          <w:rFonts w:hint="eastAsia" w:ascii="宋体" w:hAnsi="宋体" w:cs="宋体"/>
          <w:sz w:val="24"/>
          <w:highlight w:val="none"/>
        </w:rPr>
        <w:t>·支持IEC定时器/计数器；</w:t>
      </w:r>
    </w:p>
    <w:p>
      <w:pPr>
        <w:spacing w:line="360" w:lineRule="auto"/>
        <w:ind w:firstLine="480"/>
        <w:rPr>
          <w:rFonts w:ascii="宋体" w:hAnsi="宋体" w:cs="宋体"/>
          <w:sz w:val="24"/>
          <w:highlight w:val="none"/>
        </w:rPr>
      </w:pPr>
      <w:r>
        <w:rPr>
          <w:rFonts w:hint="eastAsia" w:ascii="宋体" w:hAnsi="宋体" w:cs="宋体"/>
          <w:sz w:val="24"/>
          <w:highlight w:val="none"/>
        </w:rPr>
        <w:t>·内置时钟功能；</w:t>
      </w:r>
    </w:p>
    <w:p>
      <w:pPr>
        <w:spacing w:line="360" w:lineRule="auto"/>
        <w:ind w:firstLine="480"/>
        <w:rPr>
          <w:rFonts w:ascii="宋体" w:hAnsi="宋体" w:cs="宋体"/>
          <w:sz w:val="24"/>
          <w:highlight w:val="none"/>
        </w:rPr>
      </w:pPr>
      <w:r>
        <w:rPr>
          <w:rFonts w:hint="eastAsia" w:ascii="宋体" w:hAnsi="宋体" w:cs="宋体"/>
          <w:sz w:val="24"/>
          <w:highlight w:val="none"/>
        </w:rPr>
        <w:t>集成ProfibUS-DP接口，支持主站、从站功能，最高速率12Mbps；（提供产品彩页或官网资料截图）</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集成&gt;=2个100M自适应工业以太网通讯接口，支持交换机功能，支持 TCP/IP等通讯协议,支持ProfiNET总线分布式I/O主站功能；（提供产品彩页或官网资料截图）</w:t>
      </w:r>
    </w:p>
    <w:p>
      <w:pPr>
        <w:spacing w:line="360" w:lineRule="auto"/>
        <w:ind w:firstLine="480"/>
        <w:rPr>
          <w:rFonts w:ascii="宋体" w:hAnsi="宋体" w:cs="宋体"/>
          <w:sz w:val="24"/>
          <w:highlight w:val="none"/>
        </w:rPr>
      </w:pPr>
      <w:r>
        <w:rPr>
          <w:rFonts w:hint="eastAsia" w:ascii="宋体" w:hAnsi="宋体" w:cs="宋体"/>
          <w:sz w:val="24"/>
          <w:highlight w:val="none"/>
        </w:rPr>
        <w:t>·处理速度：</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a.位处理：&lt;=0.05us</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b.字处理：&lt;=0.1us</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c.整数运算：&lt;=0.15us</w:t>
      </w:r>
    </w:p>
    <w:p>
      <w:pPr>
        <w:spacing w:line="360" w:lineRule="auto"/>
        <w:ind w:firstLine="480"/>
        <w:rPr>
          <w:rFonts w:ascii="宋体" w:hAnsi="宋体" w:cs="宋体"/>
          <w:sz w:val="24"/>
          <w:highlight w:val="none"/>
        </w:rPr>
      </w:pPr>
      <w:r>
        <w:rPr>
          <w:rFonts w:hint="eastAsia" w:ascii="宋体" w:hAnsi="宋体" w:cs="宋体"/>
          <w:sz w:val="24"/>
          <w:highlight w:val="none"/>
        </w:rPr>
        <w:t xml:space="preserve"> d.浮点运算：&lt;=0.5us</w:t>
      </w:r>
    </w:p>
    <w:p>
      <w:pPr>
        <w:spacing w:line="360" w:lineRule="auto"/>
        <w:ind w:firstLine="480"/>
        <w:rPr>
          <w:rFonts w:ascii="宋体" w:hAnsi="宋体" w:cs="宋体"/>
          <w:sz w:val="24"/>
          <w:highlight w:val="none"/>
        </w:rPr>
      </w:pPr>
      <w:r>
        <w:rPr>
          <w:rFonts w:hint="eastAsia" w:ascii="宋体" w:hAnsi="宋体" w:cs="宋体"/>
          <w:sz w:val="24"/>
          <w:highlight w:val="none"/>
        </w:rPr>
        <w:t>·支持Web服务器模式；</w:t>
      </w:r>
    </w:p>
    <w:p>
      <w:pPr>
        <w:spacing w:line="360" w:lineRule="auto"/>
        <w:ind w:firstLine="480"/>
        <w:rPr>
          <w:rFonts w:ascii="宋体" w:hAnsi="宋体" w:cs="宋体"/>
          <w:sz w:val="24"/>
          <w:highlight w:val="none"/>
        </w:rPr>
      </w:pPr>
      <w:r>
        <w:rPr>
          <w:rFonts w:hint="eastAsia" w:ascii="宋体" w:hAnsi="宋体" w:cs="宋体"/>
          <w:sz w:val="24"/>
          <w:highlight w:val="none"/>
        </w:rPr>
        <w:t>·支持梯形图（LAD）、语句表（STL）、功能块图（FBD）及SCL编程语言；</w:t>
      </w:r>
    </w:p>
    <w:p>
      <w:pPr>
        <w:spacing w:line="360" w:lineRule="auto"/>
        <w:ind w:firstLine="480"/>
        <w:rPr>
          <w:rFonts w:ascii="宋体" w:hAnsi="宋体" w:cs="宋体"/>
          <w:sz w:val="24"/>
          <w:highlight w:val="none"/>
        </w:rPr>
      </w:pPr>
      <w:r>
        <w:rPr>
          <w:rFonts w:hint="eastAsia" w:ascii="宋体" w:hAnsi="宋体" w:cs="宋体"/>
          <w:sz w:val="24"/>
          <w:highlight w:val="none"/>
        </w:rPr>
        <w:t>CPU必须带有彩色显示屏，可显示CPU常规信息及故障信息，显示屏支持中文显示；（提供产品彩页或官网资料截图）</w:t>
      </w:r>
    </w:p>
    <w:p>
      <w:pPr>
        <w:pStyle w:val="9"/>
        <w:spacing w:line="360" w:lineRule="auto"/>
        <w:rPr>
          <w:rFonts w:ascii="宋体" w:hAnsi="宋体" w:cs="宋体"/>
          <w:sz w:val="24"/>
          <w:szCs w:val="24"/>
          <w:highlight w:val="none"/>
        </w:rPr>
      </w:pPr>
      <w:bookmarkStart w:id="119" w:name="_Toc38389297"/>
      <w:r>
        <w:rPr>
          <w:rFonts w:hint="eastAsia" w:ascii="宋体" w:hAnsi="宋体" w:cs="宋体"/>
          <w:sz w:val="24"/>
          <w:szCs w:val="24"/>
          <w:highlight w:val="none"/>
        </w:rPr>
        <w:t>2.2.7.3 PLC-I/O模块技术参数</w:t>
      </w:r>
      <w:bookmarkEnd w:id="119"/>
    </w:p>
    <w:p>
      <w:pPr>
        <w:pStyle w:val="73"/>
        <w:numPr>
          <w:ilvl w:val="0"/>
          <w:numId w:val="13"/>
        </w:numPr>
        <w:spacing w:line="360" w:lineRule="auto"/>
        <w:ind w:firstLineChars="0"/>
        <w:rPr>
          <w:rFonts w:ascii="宋体" w:hAnsi="宋体" w:cs="宋体"/>
          <w:b/>
          <w:sz w:val="24"/>
          <w:szCs w:val="24"/>
          <w:highlight w:val="none"/>
        </w:rPr>
      </w:pPr>
      <w:r>
        <w:rPr>
          <w:rFonts w:hint="eastAsia" w:ascii="宋体" w:hAnsi="宋体" w:cs="宋体"/>
          <w:b/>
          <w:sz w:val="24"/>
          <w:szCs w:val="24"/>
          <w:highlight w:val="none"/>
        </w:rPr>
        <w:t>模拟量输入（AI）</w:t>
      </w:r>
    </w:p>
    <w:p>
      <w:pPr>
        <w:spacing w:line="360" w:lineRule="auto"/>
        <w:ind w:firstLine="480"/>
        <w:rPr>
          <w:rFonts w:ascii="宋体" w:hAnsi="宋体" w:cs="宋体"/>
          <w:sz w:val="24"/>
          <w:highlight w:val="none"/>
        </w:rPr>
      </w:pPr>
      <w:r>
        <w:rPr>
          <w:rFonts w:hint="eastAsia" w:ascii="宋体" w:hAnsi="宋体" w:cs="宋体"/>
          <w:sz w:val="24"/>
          <w:highlight w:val="none"/>
        </w:rPr>
        <w:t>·电流信号：二线制4～20mADC，四线制0/4～20mADC；输入阻抗&lt;250</w:t>
      </w:r>
      <w:r>
        <w:rPr>
          <w:rFonts w:hint="eastAsia" w:ascii="宋体" w:hAnsi="宋体" w:cs="宋体"/>
          <w:color w:val="000000"/>
          <w:kern w:val="0"/>
          <w:sz w:val="24"/>
          <w:highlight w:val="none"/>
        </w:rPr>
        <w:t>Ω；</w:t>
      </w:r>
    </w:p>
    <w:p>
      <w:pPr>
        <w:spacing w:line="360" w:lineRule="auto"/>
        <w:ind w:firstLine="480"/>
        <w:rPr>
          <w:rFonts w:ascii="宋体" w:hAnsi="宋体" w:cs="宋体"/>
          <w:sz w:val="24"/>
          <w:highlight w:val="none"/>
        </w:rPr>
      </w:pPr>
      <w:r>
        <w:rPr>
          <w:rFonts w:hint="eastAsia" w:ascii="宋体" w:hAnsi="宋体" w:cs="宋体"/>
          <w:sz w:val="24"/>
          <w:highlight w:val="none"/>
        </w:rPr>
        <w:t>·电压信号：+/-10V，输入阻抗：&gt;=100</w:t>
      </w:r>
      <w:r>
        <w:rPr>
          <w:rFonts w:hint="eastAsia" w:ascii="宋体" w:hAnsi="宋体" w:cs="宋体"/>
          <w:color w:val="000000"/>
          <w:kern w:val="0"/>
          <w:sz w:val="24"/>
          <w:highlight w:val="none"/>
        </w:rPr>
        <w:t>kΩ</w:t>
      </w:r>
    </w:p>
    <w:p>
      <w:pPr>
        <w:spacing w:line="360" w:lineRule="auto"/>
        <w:ind w:firstLine="480"/>
        <w:rPr>
          <w:rFonts w:ascii="宋体" w:hAnsi="宋体" w:cs="宋体"/>
          <w:sz w:val="24"/>
          <w:highlight w:val="none"/>
        </w:rPr>
      </w:pPr>
      <w:r>
        <w:rPr>
          <w:rFonts w:hint="eastAsia" w:ascii="宋体" w:hAnsi="宋体" w:cs="宋体"/>
          <w:sz w:val="24"/>
          <w:highlight w:val="none"/>
        </w:rPr>
        <w:t>·热电偶信号：分度号 K、J、E、N、L等国际标准信号；</w:t>
      </w:r>
    </w:p>
    <w:p>
      <w:pPr>
        <w:spacing w:line="360" w:lineRule="auto"/>
        <w:ind w:firstLine="480"/>
        <w:rPr>
          <w:rFonts w:ascii="宋体" w:hAnsi="宋体" w:cs="宋体"/>
          <w:sz w:val="24"/>
          <w:highlight w:val="none"/>
        </w:rPr>
      </w:pPr>
      <w:r>
        <w:rPr>
          <w:rFonts w:hint="eastAsia" w:ascii="宋体" w:hAnsi="宋体" w:cs="宋体"/>
          <w:sz w:val="24"/>
          <w:highlight w:val="none"/>
        </w:rPr>
        <w:t>·热电阻信号：分度号 Pt100、Ni100等,支持2线、3线、4线；</w:t>
      </w:r>
    </w:p>
    <w:p>
      <w:pPr>
        <w:spacing w:line="360" w:lineRule="auto"/>
        <w:ind w:firstLine="480"/>
        <w:rPr>
          <w:rFonts w:ascii="宋体" w:hAnsi="宋体" w:cs="宋体"/>
          <w:sz w:val="24"/>
          <w:highlight w:val="none"/>
        </w:rPr>
      </w:pPr>
      <w:r>
        <w:rPr>
          <w:rFonts w:hint="eastAsia" w:ascii="宋体" w:hAnsi="宋体" w:cs="宋体"/>
          <w:sz w:val="24"/>
          <w:highlight w:val="none"/>
        </w:rPr>
        <w:t>·错误诊断LED；</w:t>
      </w:r>
    </w:p>
    <w:p>
      <w:pPr>
        <w:spacing w:line="360" w:lineRule="auto"/>
        <w:ind w:firstLine="480"/>
        <w:rPr>
          <w:rFonts w:ascii="宋体" w:hAnsi="宋体" w:cs="宋体"/>
          <w:sz w:val="24"/>
          <w:highlight w:val="none"/>
        </w:rPr>
      </w:pPr>
      <w:r>
        <w:rPr>
          <w:rFonts w:hint="eastAsia" w:ascii="宋体" w:hAnsi="宋体" w:cs="宋体"/>
          <w:sz w:val="24"/>
          <w:highlight w:val="none"/>
        </w:rPr>
        <w:t>·精度：&gt;=13位；</w:t>
      </w:r>
    </w:p>
    <w:p>
      <w:pPr>
        <w:pStyle w:val="73"/>
        <w:numPr>
          <w:ilvl w:val="0"/>
          <w:numId w:val="13"/>
        </w:numPr>
        <w:spacing w:line="360" w:lineRule="auto"/>
        <w:ind w:firstLineChars="0"/>
        <w:rPr>
          <w:rFonts w:ascii="宋体" w:hAnsi="宋体" w:cs="宋体"/>
          <w:b/>
          <w:sz w:val="24"/>
          <w:szCs w:val="24"/>
          <w:highlight w:val="none"/>
        </w:rPr>
      </w:pPr>
      <w:r>
        <w:rPr>
          <w:rFonts w:hint="eastAsia" w:ascii="宋体" w:hAnsi="宋体" w:cs="宋体"/>
          <w:b/>
          <w:sz w:val="24"/>
          <w:szCs w:val="24"/>
          <w:highlight w:val="none"/>
        </w:rPr>
        <w:t>模拟量输出（AO）</w:t>
      </w:r>
    </w:p>
    <w:p>
      <w:pPr>
        <w:spacing w:line="360" w:lineRule="auto"/>
        <w:ind w:firstLine="480"/>
        <w:rPr>
          <w:rFonts w:ascii="宋体" w:hAnsi="宋体" w:cs="宋体"/>
          <w:sz w:val="24"/>
          <w:highlight w:val="none"/>
        </w:rPr>
      </w:pPr>
      <w:r>
        <w:rPr>
          <w:rFonts w:hint="eastAsia" w:ascii="宋体" w:hAnsi="宋体" w:cs="宋体"/>
          <w:sz w:val="24"/>
          <w:highlight w:val="none"/>
        </w:rPr>
        <w:t>·电流信号：4～20mA，负载阻抗&gt;=500Ω；</w:t>
      </w:r>
    </w:p>
    <w:p>
      <w:pPr>
        <w:spacing w:line="360" w:lineRule="auto"/>
        <w:ind w:firstLine="480"/>
        <w:rPr>
          <w:rFonts w:ascii="宋体" w:hAnsi="宋体" w:cs="宋体"/>
          <w:sz w:val="24"/>
          <w:highlight w:val="none"/>
        </w:rPr>
      </w:pPr>
      <w:r>
        <w:rPr>
          <w:rFonts w:hint="eastAsia" w:ascii="宋体" w:hAnsi="宋体" w:cs="宋体"/>
          <w:sz w:val="24"/>
          <w:highlight w:val="none"/>
        </w:rPr>
        <w:t>·电压信号：+/-10V，负载阻抗最小1KΩ；</w:t>
      </w:r>
    </w:p>
    <w:p>
      <w:pPr>
        <w:spacing w:line="360" w:lineRule="auto"/>
        <w:ind w:firstLine="480"/>
        <w:rPr>
          <w:rFonts w:ascii="宋体" w:hAnsi="宋体" w:cs="宋体"/>
          <w:sz w:val="24"/>
          <w:highlight w:val="none"/>
        </w:rPr>
      </w:pPr>
      <w:r>
        <w:rPr>
          <w:rFonts w:hint="eastAsia" w:ascii="宋体" w:hAnsi="宋体" w:cs="宋体"/>
          <w:sz w:val="24"/>
          <w:highlight w:val="none"/>
        </w:rPr>
        <w:t>·错误诊断LED；</w:t>
      </w:r>
    </w:p>
    <w:p>
      <w:pPr>
        <w:spacing w:line="360" w:lineRule="auto"/>
        <w:ind w:firstLine="480"/>
        <w:rPr>
          <w:rFonts w:ascii="宋体" w:hAnsi="宋体" w:cs="宋体"/>
          <w:sz w:val="24"/>
          <w:highlight w:val="none"/>
        </w:rPr>
      </w:pPr>
      <w:r>
        <w:rPr>
          <w:rFonts w:hint="eastAsia" w:ascii="宋体" w:hAnsi="宋体" w:cs="宋体"/>
          <w:sz w:val="24"/>
          <w:highlight w:val="none"/>
        </w:rPr>
        <w:t>·精度：&gt;=12位；</w:t>
      </w:r>
    </w:p>
    <w:p>
      <w:pPr>
        <w:spacing w:line="360" w:lineRule="auto"/>
        <w:ind w:firstLine="480"/>
        <w:rPr>
          <w:rFonts w:ascii="宋体" w:hAnsi="宋体" w:cs="宋体"/>
          <w:sz w:val="24"/>
          <w:highlight w:val="none"/>
        </w:rPr>
      </w:pPr>
      <w:r>
        <w:rPr>
          <w:rFonts w:hint="eastAsia" w:ascii="宋体" w:hAnsi="宋体" w:cs="宋体"/>
          <w:sz w:val="24"/>
          <w:highlight w:val="none"/>
        </w:rPr>
        <w:t>·不使用的通道，可通过编程进行屏敝；</w:t>
      </w:r>
    </w:p>
    <w:p>
      <w:pPr>
        <w:pStyle w:val="73"/>
        <w:numPr>
          <w:ilvl w:val="0"/>
          <w:numId w:val="13"/>
        </w:numPr>
        <w:spacing w:line="360" w:lineRule="auto"/>
        <w:ind w:firstLineChars="0"/>
        <w:rPr>
          <w:rFonts w:ascii="宋体" w:hAnsi="宋体" w:cs="宋体"/>
          <w:b/>
          <w:sz w:val="24"/>
          <w:szCs w:val="24"/>
          <w:highlight w:val="none"/>
        </w:rPr>
      </w:pPr>
      <w:r>
        <w:rPr>
          <w:rFonts w:hint="eastAsia" w:ascii="宋体" w:hAnsi="宋体" w:cs="宋体"/>
          <w:b/>
          <w:sz w:val="24"/>
          <w:szCs w:val="24"/>
          <w:highlight w:val="none"/>
        </w:rPr>
        <w:t>数字量输入（DI）</w:t>
      </w:r>
    </w:p>
    <w:p>
      <w:pPr>
        <w:spacing w:line="360" w:lineRule="auto"/>
        <w:ind w:firstLine="480"/>
        <w:rPr>
          <w:rFonts w:ascii="宋体" w:hAnsi="宋体" w:cs="宋体"/>
          <w:sz w:val="24"/>
          <w:highlight w:val="none"/>
        </w:rPr>
      </w:pPr>
      <w:r>
        <w:rPr>
          <w:rFonts w:hint="eastAsia" w:ascii="宋体" w:hAnsi="宋体" w:cs="宋体"/>
          <w:sz w:val="24"/>
          <w:highlight w:val="none"/>
        </w:rPr>
        <w:t>·额定电压：24VDC；</w:t>
      </w:r>
    </w:p>
    <w:p>
      <w:pPr>
        <w:spacing w:line="360" w:lineRule="auto"/>
        <w:ind w:firstLine="480"/>
        <w:rPr>
          <w:rFonts w:ascii="宋体" w:hAnsi="宋体" w:cs="宋体"/>
          <w:sz w:val="24"/>
          <w:highlight w:val="none"/>
        </w:rPr>
      </w:pPr>
      <w:r>
        <w:rPr>
          <w:rFonts w:hint="eastAsia" w:ascii="宋体" w:hAnsi="宋体" w:cs="宋体"/>
          <w:sz w:val="24"/>
          <w:highlight w:val="none"/>
        </w:rPr>
        <w:t>·绝缘电压：500VDC；</w:t>
      </w:r>
    </w:p>
    <w:p>
      <w:pPr>
        <w:spacing w:line="360" w:lineRule="auto"/>
        <w:ind w:firstLine="480"/>
        <w:rPr>
          <w:rFonts w:ascii="宋体" w:hAnsi="宋体" w:cs="宋体"/>
          <w:sz w:val="24"/>
          <w:highlight w:val="none"/>
        </w:rPr>
      </w:pPr>
      <w:r>
        <w:rPr>
          <w:rFonts w:hint="eastAsia" w:ascii="宋体" w:hAnsi="宋体" w:cs="宋体"/>
          <w:sz w:val="24"/>
          <w:highlight w:val="none"/>
        </w:rPr>
        <w:t>·电气隔离：通道与背板总线、通道与通道间；</w:t>
      </w:r>
    </w:p>
    <w:p>
      <w:pPr>
        <w:spacing w:line="360" w:lineRule="auto"/>
        <w:ind w:firstLine="480"/>
        <w:rPr>
          <w:rFonts w:ascii="宋体" w:hAnsi="宋体" w:cs="宋体"/>
          <w:sz w:val="24"/>
          <w:highlight w:val="none"/>
        </w:rPr>
      </w:pPr>
      <w:r>
        <w:rPr>
          <w:rFonts w:hint="eastAsia" w:ascii="宋体" w:hAnsi="宋体" w:cs="宋体"/>
          <w:sz w:val="24"/>
          <w:highlight w:val="none"/>
        </w:rPr>
        <w:t>·输入类型：PNP晶体管（高电平有效）；</w:t>
      </w:r>
    </w:p>
    <w:p>
      <w:pPr>
        <w:spacing w:line="360" w:lineRule="auto"/>
        <w:ind w:firstLine="480"/>
        <w:rPr>
          <w:rFonts w:ascii="宋体" w:hAnsi="宋体" w:cs="宋体"/>
          <w:sz w:val="24"/>
          <w:highlight w:val="none"/>
        </w:rPr>
      </w:pPr>
      <w:r>
        <w:rPr>
          <w:rFonts w:hint="eastAsia" w:ascii="宋体" w:hAnsi="宋体" w:cs="宋体"/>
          <w:sz w:val="24"/>
          <w:highlight w:val="none"/>
        </w:rPr>
        <w:t>·模块诊断功能；</w:t>
      </w:r>
    </w:p>
    <w:p>
      <w:pPr>
        <w:spacing w:line="360" w:lineRule="auto"/>
        <w:ind w:firstLine="480"/>
        <w:rPr>
          <w:rFonts w:ascii="宋体" w:hAnsi="宋体" w:cs="宋体"/>
          <w:sz w:val="24"/>
          <w:highlight w:val="none"/>
        </w:rPr>
      </w:pPr>
      <w:r>
        <w:rPr>
          <w:rFonts w:hint="eastAsia" w:ascii="宋体" w:hAnsi="宋体" w:cs="宋体"/>
          <w:sz w:val="24"/>
          <w:highlight w:val="none"/>
        </w:rPr>
        <w:t>·LED指示功能；</w:t>
      </w:r>
    </w:p>
    <w:p>
      <w:pPr>
        <w:pStyle w:val="73"/>
        <w:numPr>
          <w:ilvl w:val="0"/>
          <w:numId w:val="13"/>
        </w:numPr>
        <w:spacing w:line="360" w:lineRule="auto"/>
        <w:ind w:firstLineChars="0"/>
        <w:rPr>
          <w:rFonts w:ascii="宋体" w:hAnsi="宋体" w:cs="宋体"/>
          <w:b/>
          <w:sz w:val="24"/>
          <w:szCs w:val="24"/>
          <w:highlight w:val="none"/>
        </w:rPr>
      </w:pPr>
      <w:r>
        <w:rPr>
          <w:rFonts w:hint="eastAsia" w:ascii="宋体" w:hAnsi="宋体" w:cs="宋体"/>
          <w:b/>
          <w:sz w:val="24"/>
          <w:szCs w:val="24"/>
          <w:highlight w:val="none"/>
        </w:rPr>
        <w:t>数字量输出（DO）</w:t>
      </w:r>
    </w:p>
    <w:p>
      <w:pPr>
        <w:spacing w:line="360" w:lineRule="auto"/>
        <w:ind w:firstLine="480"/>
        <w:rPr>
          <w:rFonts w:ascii="宋体" w:hAnsi="宋体" w:cs="宋体"/>
          <w:sz w:val="24"/>
          <w:highlight w:val="none"/>
        </w:rPr>
      </w:pPr>
      <w:r>
        <w:rPr>
          <w:rFonts w:hint="eastAsia" w:ascii="宋体" w:hAnsi="宋体" w:cs="宋体"/>
          <w:sz w:val="24"/>
          <w:highlight w:val="none"/>
        </w:rPr>
        <w:t>·额定电压：24VDC;</w:t>
      </w:r>
    </w:p>
    <w:p>
      <w:pPr>
        <w:spacing w:line="360" w:lineRule="auto"/>
        <w:ind w:firstLine="480"/>
        <w:rPr>
          <w:rFonts w:ascii="宋体" w:hAnsi="宋体" w:cs="宋体"/>
          <w:sz w:val="24"/>
          <w:highlight w:val="none"/>
        </w:rPr>
      </w:pPr>
      <w:r>
        <w:rPr>
          <w:rFonts w:hint="eastAsia" w:ascii="宋体" w:hAnsi="宋体" w:cs="宋体"/>
          <w:sz w:val="24"/>
          <w:highlight w:val="none"/>
        </w:rPr>
        <w:t>·输出电流：0.5A；</w:t>
      </w:r>
    </w:p>
    <w:p>
      <w:pPr>
        <w:spacing w:line="360" w:lineRule="auto"/>
        <w:ind w:firstLine="480"/>
        <w:rPr>
          <w:rFonts w:ascii="宋体" w:hAnsi="宋体" w:cs="宋体"/>
          <w:sz w:val="24"/>
          <w:highlight w:val="none"/>
        </w:rPr>
      </w:pPr>
      <w:r>
        <w:rPr>
          <w:rFonts w:hint="eastAsia" w:ascii="宋体" w:hAnsi="宋体" w:cs="宋体"/>
          <w:sz w:val="24"/>
          <w:highlight w:val="none"/>
        </w:rPr>
        <w:t>·绝缘电压：500VDC；</w:t>
      </w:r>
    </w:p>
    <w:p>
      <w:pPr>
        <w:spacing w:line="360" w:lineRule="auto"/>
        <w:ind w:firstLine="480"/>
        <w:rPr>
          <w:rFonts w:ascii="宋体" w:hAnsi="宋体" w:cs="宋体"/>
          <w:sz w:val="24"/>
          <w:highlight w:val="none"/>
        </w:rPr>
      </w:pPr>
      <w:r>
        <w:rPr>
          <w:rFonts w:hint="eastAsia" w:ascii="宋体" w:hAnsi="宋体" w:cs="宋体"/>
          <w:sz w:val="24"/>
          <w:highlight w:val="none"/>
        </w:rPr>
        <w:t>·电气隔离：通道与背板总线、通道与通道间；</w:t>
      </w:r>
    </w:p>
    <w:p>
      <w:pPr>
        <w:spacing w:line="360" w:lineRule="auto"/>
        <w:ind w:firstLine="482"/>
        <w:rPr>
          <w:rFonts w:ascii="宋体" w:hAnsi="宋体" w:cs="宋体"/>
          <w:b/>
          <w:sz w:val="24"/>
          <w:highlight w:val="none"/>
        </w:rPr>
      </w:pPr>
      <w:r>
        <w:rPr>
          <w:rFonts w:hint="eastAsia" w:ascii="宋体" w:hAnsi="宋体" w:cs="宋体"/>
          <w:b/>
          <w:bCs/>
          <w:sz w:val="24"/>
          <w:highlight w:val="none"/>
        </w:rPr>
        <w:t>5）串口通讯模块技术参数</w:t>
      </w:r>
    </w:p>
    <w:p>
      <w:pPr>
        <w:spacing w:line="360" w:lineRule="auto"/>
        <w:ind w:firstLine="480"/>
        <w:rPr>
          <w:rFonts w:ascii="宋体" w:hAnsi="宋体" w:cs="宋体"/>
          <w:sz w:val="24"/>
          <w:highlight w:val="none"/>
        </w:rPr>
      </w:pPr>
      <w:r>
        <w:rPr>
          <w:rFonts w:hint="eastAsia" w:ascii="宋体" w:hAnsi="宋体" w:cs="宋体"/>
          <w:sz w:val="24"/>
          <w:highlight w:val="none"/>
        </w:rPr>
        <w:t>·接口：RS422/RS485；</w:t>
      </w:r>
    </w:p>
    <w:p>
      <w:pPr>
        <w:spacing w:line="360" w:lineRule="auto"/>
        <w:ind w:firstLine="480"/>
        <w:rPr>
          <w:rFonts w:ascii="宋体" w:hAnsi="宋体" w:cs="宋体"/>
          <w:sz w:val="24"/>
          <w:highlight w:val="none"/>
        </w:rPr>
      </w:pPr>
      <w:r>
        <w:rPr>
          <w:rFonts w:hint="eastAsia" w:ascii="宋体" w:hAnsi="宋体" w:cs="宋体"/>
          <w:sz w:val="24"/>
          <w:highlight w:val="none"/>
        </w:rPr>
        <w:t>·诊断LED</w:t>
      </w:r>
    </w:p>
    <w:p>
      <w:pPr>
        <w:spacing w:line="360" w:lineRule="auto"/>
        <w:ind w:firstLine="480"/>
        <w:rPr>
          <w:rFonts w:ascii="宋体" w:hAnsi="宋体" w:cs="宋体"/>
          <w:sz w:val="24"/>
          <w:highlight w:val="none"/>
        </w:rPr>
      </w:pPr>
      <w:r>
        <w:rPr>
          <w:rFonts w:hint="eastAsia" w:ascii="宋体" w:hAnsi="宋体" w:cs="宋体"/>
          <w:sz w:val="24"/>
          <w:highlight w:val="none"/>
        </w:rPr>
        <w:t>·支持ASCII通讯协议；支持标准ModBUS RTU通讯协议；</w:t>
      </w:r>
    </w:p>
    <w:p>
      <w:pPr>
        <w:spacing w:line="360" w:lineRule="auto"/>
        <w:ind w:firstLine="480"/>
        <w:rPr>
          <w:rFonts w:ascii="宋体" w:hAnsi="宋体" w:cs="宋体"/>
          <w:sz w:val="24"/>
          <w:highlight w:val="none"/>
        </w:rPr>
      </w:pPr>
      <w:r>
        <w:rPr>
          <w:rFonts w:hint="eastAsia" w:ascii="宋体" w:hAnsi="宋体" w:cs="宋体"/>
          <w:sz w:val="24"/>
          <w:highlight w:val="none"/>
        </w:rPr>
        <w:t>·最大传输率：115.2Kbit/S</w:t>
      </w:r>
    </w:p>
    <w:p>
      <w:pPr>
        <w:spacing w:line="360" w:lineRule="auto"/>
        <w:ind w:firstLine="480"/>
        <w:rPr>
          <w:rFonts w:ascii="宋体" w:hAnsi="宋体" w:cs="宋体"/>
          <w:sz w:val="24"/>
          <w:highlight w:val="none"/>
        </w:rPr>
      </w:pPr>
      <w:r>
        <w:rPr>
          <w:rFonts w:hint="eastAsia" w:ascii="宋体" w:hAnsi="宋体" w:cs="宋体"/>
          <w:sz w:val="24"/>
          <w:highlight w:val="none"/>
        </w:rPr>
        <w:t>·最大电缆长度：1200米</w:t>
      </w:r>
    </w:p>
    <w:p>
      <w:pPr>
        <w:spacing w:line="360" w:lineRule="auto"/>
        <w:ind w:firstLine="480"/>
        <w:rPr>
          <w:rFonts w:ascii="宋体" w:hAnsi="宋体" w:cs="宋体"/>
          <w:sz w:val="24"/>
          <w:highlight w:val="none"/>
        </w:rPr>
      </w:pPr>
      <w:r>
        <w:rPr>
          <w:rFonts w:hint="eastAsia" w:ascii="宋体" w:hAnsi="宋体" w:cs="宋体"/>
          <w:sz w:val="24"/>
          <w:highlight w:val="none"/>
        </w:rPr>
        <w:t>·电气隔离；</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20" w:name="_Toc38389298"/>
      <w:r>
        <w:rPr>
          <w:rFonts w:hint="eastAsia" w:cs="宋体"/>
          <w:sz w:val="24"/>
          <w:szCs w:val="24"/>
          <w:highlight w:val="none"/>
        </w:rPr>
        <w:t>2.2.8触摸屏</w:t>
      </w:r>
      <w:bookmarkEnd w:id="120"/>
      <w:r>
        <w:rPr>
          <w:rFonts w:hint="eastAsia" w:cs="宋体"/>
          <w:sz w:val="24"/>
          <w:szCs w:val="24"/>
          <w:highlight w:val="none"/>
        </w:rPr>
        <w:t>技术参数</w:t>
      </w:r>
    </w:p>
    <w:p>
      <w:pPr>
        <w:spacing w:line="360" w:lineRule="auto"/>
        <w:ind w:firstLine="480"/>
        <w:rPr>
          <w:rFonts w:ascii="宋体" w:hAnsi="宋体" w:cs="宋体"/>
          <w:sz w:val="24"/>
          <w:highlight w:val="none"/>
        </w:rPr>
      </w:pPr>
      <w:r>
        <w:rPr>
          <w:rFonts w:hint="eastAsia" w:ascii="宋体" w:hAnsi="宋体" w:cs="宋体"/>
          <w:sz w:val="24"/>
          <w:highlight w:val="none"/>
        </w:rPr>
        <w:t>触摸屏做为现场控制的人机交互界面，其功能基本与上位机相同，均可实现监视与控制、参数设备等功能。为建成全集成自动系统，满足硬件及软件的兼容性，要求触摸屏选用与PLC同品牌。具体要求如下：</w:t>
      </w:r>
    </w:p>
    <w:p>
      <w:pPr>
        <w:spacing w:line="360" w:lineRule="auto"/>
        <w:ind w:firstLine="480"/>
        <w:rPr>
          <w:rFonts w:ascii="宋体" w:hAnsi="宋体" w:cs="宋体"/>
          <w:sz w:val="24"/>
          <w:highlight w:val="none"/>
        </w:rPr>
      </w:pPr>
      <w:r>
        <w:rPr>
          <w:rFonts w:hint="eastAsia" w:ascii="宋体" w:hAnsi="宋体" w:cs="宋体"/>
          <w:sz w:val="24"/>
          <w:highlight w:val="none"/>
        </w:rPr>
        <w:t>·与PLC同品牌；</w:t>
      </w:r>
    </w:p>
    <w:p>
      <w:pPr>
        <w:spacing w:line="360" w:lineRule="auto"/>
        <w:ind w:firstLine="480"/>
        <w:rPr>
          <w:rFonts w:ascii="宋体" w:hAnsi="宋体" w:cs="宋体"/>
          <w:sz w:val="24"/>
          <w:highlight w:val="none"/>
        </w:rPr>
      </w:pPr>
      <w:r>
        <w:rPr>
          <w:rFonts w:hint="eastAsia" w:ascii="宋体" w:hAnsi="宋体" w:cs="宋体"/>
          <w:sz w:val="24"/>
          <w:highlight w:val="none"/>
        </w:rPr>
        <w:t>·平均无故障时间：&gt;80000小时；</w:t>
      </w:r>
    </w:p>
    <w:p>
      <w:pPr>
        <w:spacing w:line="360" w:lineRule="auto"/>
        <w:ind w:firstLine="480"/>
        <w:rPr>
          <w:rFonts w:ascii="宋体" w:hAnsi="宋体" w:cs="宋体"/>
          <w:sz w:val="24"/>
          <w:highlight w:val="none"/>
        </w:rPr>
      </w:pPr>
      <w:r>
        <w:rPr>
          <w:rFonts w:hint="eastAsia" w:ascii="宋体" w:hAnsi="宋体" w:cs="宋体"/>
          <w:sz w:val="24"/>
          <w:highlight w:val="none"/>
        </w:rPr>
        <w:t>·工作电压：DC24V；</w:t>
      </w:r>
    </w:p>
    <w:p>
      <w:pPr>
        <w:spacing w:line="360" w:lineRule="auto"/>
        <w:ind w:firstLine="480"/>
        <w:rPr>
          <w:rFonts w:ascii="宋体" w:hAnsi="宋体" w:cs="宋体"/>
          <w:sz w:val="24"/>
          <w:highlight w:val="none"/>
        </w:rPr>
      </w:pPr>
      <w:r>
        <w:rPr>
          <w:rFonts w:hint="eastAsia" w:ascii="宋体" w:hAnsi="宋体" w:cs="宋体"/>
          <w:sz w:val="24"/>
          <w:highlight w:val="none"/>
        </w:rPr>
        <w:t>·屏幕尺寸：12.1英寸，分辨率：1280×800；彩色；</w:t>
      </w:r>
    </w:p>
    <w:p>
      <w:pPr>
        <w:spacing w:line="360" w:lineRule="auto"/>
        <w:ind w:firstLine="480"/>
        <w:rPr>
          <w:rFonts w:ascii="宋体" w:hAnsi="宋体" w:cs="宋体"/>
          <w:sz w:val="24"/>
          <w:highlight w:val="none"/>
        </w:rPr>
      </w:pPr>
      <w:r>
        <w:rPr>
          <w:rFonts w:hint="eastAsia" w:ascii="宋体" w:hAnsi="宋体" w:cs="宋体"/>
          <w:sz w:val="24"/>
          <w:highlight w:val="none"/>
        </w:rPr>
        <w:t>·用户内存：&gt;=8M</w:t>
      </w:r>
    </w:p>
    <w:p>
      <w:pPr>
        <w:spacing w:line="360" w:lineRule="auto"/>
        <w:ind w:firstLine="480"/>
        <w:rPr>
          <w:rFonts w:ascii="宋体" w:hAnsi="宋体" w:cs="宋体"/>
          <w:sz w:val="24"/>
          <w:highlight w:val="none"/>
        </w:rPr>
      </w:pPr>
      <w:r>
        <w:rPr>
          <w:rFonts w:hint="eastAsia" w:ascii="宋体" w:hAnsi="宋体" w:cs="宋体"/>
          <w:sz w:val="24"/>
          <w:highlight w:val="none"/>
        </w:rPr>
        <w:t>·报警数量：&gt;2000条</w:t>
      </w:r>
    </w:p>
    <w:p>
      <w:pPr>
        <w:spacing w:line="360" w:lineRule="auto"/>
        <w:ind w:firstLine="480"/>
        <w:rPr>
          <w:rFonts w:ascii="宋体" w:hAnsi="宋体" w:cs="宋体"/>
          <w:sz w:val="24"/>
          <w:highlight w:val="none"/>
        </w:rPr>
      </w:pPr>
      <w:r>
        <w:rPr>
          <w:rFonts w:hint="eastAsia" w:ascii="宋体" w:hAnsi="宋体" w:cs="宋体"/>
          <w:sz w:val="24"/>
          <w:highlight w:val="none"/>
        </w:rPr>
        <w:t>·外部变量数量：&gt;=2048</w:t>
      </w:r>
    </w:p>
    <w:p>
      <w:pPr>
        <w:spacing w:line="360" w:lineRule="auto"/>
        <w:ind w:firstLine="480"/>
        <w:rPr>
          <w:rFonts w:ascii="宋体" w:hAnsi="宋体" w:cs="宋体"/>
          <w:sz w:val="24"/>
          <w:highlight w:val="none"/>
        </w:rPr>
      </w:pPr>
      <w:r>
        <w:rPr>
          <w:rFonts w:hint="eastAsia" w:ascii="宋体" w:hAnsi="宋体" w:cs="宋体"/>
          <w:sz w:val="24"/>
          <w:highlight w:val="none"/>
        </w:rPr>
        <w:t>·通讯接口：支持串口/以太网（支持TCP/IP及ProfiNET协议）;</w:t>
      </w:r>
    </w:p>
    <w:p>
      <w:pPr>
        <w:spacing w:line="360" w:lineRule="auto"/>
        <w:ind w:firstLine="480"/>
        <w:rPr>
          <w:rFonts w:ascii="宋体" w:hAnsi="宋体" w:cs="宋体"/>
          <w:sz w:val="24"/>
          <w:highlight w:val="none"/>
        </w:rPr>
      </w:pPr>
      <w:r>
        <w:rPr>
          <w:rFonts w:hint="eastAsia" w:ascii="宋体" w:hAnsi="宋体" w:cs="宋体"/>
          <w:sz w:val="24"/>
          <w:highlight w:val="none"/>
        </w:rPr>
        <w:t>·USB插槽并支持数据存储在U盘上；</w:t>
      </w:r>
    </w:p>
    <w:p>
      <w:pPr>
        <w:spacing w:line="360" w:lineRule="auto"/>
        <w:ind w:firstLine="480"/>
        <w:rPr>
          <w:rFonts w:ascii="宋体" w:hAnsi="宋体" w:cs="宋体"/>
          <w:sz w:val="24"/>
          <w:highlight w:val="none"/>
        </w:rPr>
      </w:pPr>
      <w:r>
        <w:rPr>
          <w:rFonts w:hint="eastAsia" w:ascii="宋体" w:hAnsi="宋体" w:cs="宋体"/>
          <w:sz w:val="24"/>
          <w:highlight w:val="none"/>
        </w:rPr>
        <w:t>·基本功能：支持矢量图形、棒图、曲线、配方、VB脚本；</w:t>
      </w:r>
    </w:p>
    <w:p>
      <w:pPr>
        <w:pStyle w:val="2"/>
        <w:spacing w:line="360" w:lineRule="auto"/>
        <w:rPr>
          <w:rFonts w:ascii="宋体" w:hAnsi="宋体" w:cs="宋体"/>
          <w:sz w:val="24"/>
          <w:highlight w:val="none"/>
        </w:rPr>
      </w:pP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21" w:name="_Toc38389299"/>
      <w:r>
        <w:rPr>
          <w:rFonts w:hint="eastAsia" w:cs="宋体"/>
          <w:sz w:val="24"/>
          <w:szCs w:val="24"/>
          <w:highlight w:val="none"/>
        </w:rPr>
        <w:t>2.2.9操作员站及工程师站技术参数</w:t>
      </w:r>
      <w:bookmarkEnd w:id="121"/>
    </w:p>
    <w:p>
      <w:pPr>
        <w:pStyle w:val="9"/>
        <w:spacing w:line="360" w:lineRule="auto"/>
        <w:rPr>
          <w:rFonts w:ascii="宋体" w:hAnsi="宋体" w:cs="宋体"/>
          <w:sz w:val="24"/>
          <w:szCs w:val="24"/>
          <w:highlight w:val="none"/>
        </w:rPr>
      </w:pPr>
      <w:bookmarkStart w:id="122" w:name="_Toc38389300"/>
      <w:r>
        <w:rPr>
          <w:rFonts w:hint="eastAsia" w:ascii="宋体" w:hAnsi="宋体" w:cs="宋体"/>
          <w:sz w:val="24"/>
          <w:szCs w:val="24"/>
          <w:highlight w:val="none"/>
        </w:rPr>
        <w:t>2.2.9.1计算机参数</w:t>
      </w:r>
      <w:bookmarkEnd w:id="122"/>
    </w:p>
    <w:p>
      <w:pPr>
        <w:spacing w:line="360" w:lineRule="auto"/>
        <w:ind w:firstLine="480"/>
        <w:rPr>
          <w:rFonts w:ascii="宋体" w:hAnsi="宋体" w:cs="宋体"/>
          <w:sz w:val="24"/>
          <w:highlight w:val="none"/>
        </w:rPr>
      </w:pPr>
      <w:r>
        <w:rPr>
          <w:rFonts w:hint="eastAsia" w:ascii="宋体" w:hAnsi="宋体" w:cs="宋体"/>
          <w:sz w:val="24"/>
          <w:highlight w:val="none"/>
        </w:rPr>
        <w:t>计算机应选用稳定的、可靠的、超长生命周期的主流品牌工作站。允许全年365天连续运行。配置如下：</w:t>
      </w:r>
    </w:p>
    <w:p>
      <w:pPr>
        <w:spacing w:line="360" w:lineRule="auto"/>
        <w:ind w:firstLine="480"/>
        <w:rPr>
          <w:rFonts w:ascii="宋体" w:hAnsi="宋体" w:cs="宋体"/>
          <w:sz w:val="24"/>
          <w:highlight w:val="none"/>
        </w:rPr>
      </w:pPr>
      <w:r>
        <w:rPr>
          <w:rFonts w:hint="eastAsia" w:ascii="宋体" w:hAnsi="宋体" w:cs="宋体"/>
          <w:sz w:val="24"/>
          <w:highlight w:val="none"/>
        </w:rPr>
        <w:t>·CPU：第9代以上Core™ i7处理器，主频&gt;=3.2GHZ；</w:t>
      </w:r>
    </w:p>
    <w:p>
      <w:pPr>
        <w:tabs>
          <w:tab w:val="left" w:pos="3525"/>
        </w:tabs>
        <w:spacing w:line="360" w:lineRule="auto"/>
        <w:ind w:firstLine="480"/>
        <w:rPr>
          <w:rFonts w:ascii="宋体" w:hAnsi="宋体" w:cs="宋体"/>
          <w:sz w:val="24"/>
          <w:highlight w:val="none"/>
        </w:rPr>
      </w:pPr>
      <w:r>
        <w:rPr>
          <w:rFonts w:hint="eastAsia" w:ascii="宋体" w:hAnsi="宋体" w:cs="宋体"/>
          <w:sz w:val="24"/>
          <w:highlight w:val="none"/>
        </w:rPr>
        <w:t>·内存：&gt;=16GB；</w:t>
      </w:r>
      <w:r>
        <w:rPr>
          <w:rFonts w:hint="eastAsia" w:ascii="宋体" w:hAnsi="宋体" w:cs="宋体"/>
          <w:sz w:val="24"/>
          <w:highlight w:val="none"/>
        </w:rPr>
        <w:tab/>
      </w:r>
    </w:p>
    <w:p>
      <w:pPr>
        <w:spacing w:line="360" w:lineRule="auto"/>
        <w:ind w:firstLine="480"/>
        <w:rPr>
          <w:rFonts w:ascii="宋体" w:hAnsi="宋体" w:cs="宋体"/>
          <w:sz w:val="24"/>
          <w:highlight w:val="none"/>
        </w:rPr>
      </w:pPr>
      <w:r>
        <w:rPr>
          <w:rFonts w:hint="eastAsia" w:ascii="宋体" w:hAnsi="宋体" w:cs="宋体"/>
          <w:sz w:val="24"/>
          <w:highlight w:val="none"/>
        </w:rPr>
        <w:t>·存储：256G固态硬盘+512G固态硬盘+1T机械硬盘（3硬盘）；</w:t>
      </w:r>
    </w:p>
    <w:p>
      <w:pPr>
        <w:spacing w:line="360" w:lineRule="auto"/>
        <w:ind w:firstLine="480"/>
        <w:rPr>
          <w:rFonts w:ascii="宋体" w:hAnsi="宋体" w:cs="宋体"/>
          <w:sz w:val="24"/>
          <w:highlight w:val="none"/>
        </w:rPr>
      </w:pPr>
      <w:r>
        <w:rPr>
          <w:rFonts w:hint="eastAsia" w:ascii="宋体" w:hAnsi="宋体" w:cs="宋体"/>
          <w:sz w:val="24"/>
          <w:highlight w:val="none"/>
        </w:rPr>
        <w:t>·显卡：&gt;=2GB独立显卡；带DisplayPort/HDMI显示器接口；</w:t>
      </w:r>
    </w:p>
    <w:p>
      <w:pPr>
        <w:spacing w:line="360" w:lineRule="auto"/>
        <w:ind w:firstLine="480"/>
        <w:rPr>
          <w:rFonts w:ascii="宋体" w:hAnsi="宋体" w:cs="宋体"/>
          <w:sz w:val="24"/>
          <w:highlight w:val="none"/>
        </w:rPr>
      </w:pPr>
      <w:r>
        <w:rPr>
          <w:rFonts w:hint="eastAsia" w:ascii="宋体" w:hAnsi="宋体" w:cs="宋体"/>
          <w:sz w:val="24"/>
          <w:highlight w:val="none"/>
        </w:rPr>
        <w:t>·集成DisplayPort显示器输出接口；</w:t>
      </w:r>
    </w:p>
    <w:p>
      <w:pPr>
        <w:spacing w:line="360" w:lineRule="auto"/>
        <w:ind w:firstLine="480"/>
        <w:rPr>
          <w:rFonts w:ascii="宋体" w:hAnsi="宋体" w:cs="宋体"/>
          <w:sz w:val="24"/>
          <w:highlight w:val="none"/>
        </w:rPr>
      </w:pPr>
      <w:r>
        <w:rPr>
          <w:rFonts w:hint="eastAsia" w:ascii="宋体" w:hAnsi="宋体" w:cs="宋体"/>
          <w:sz w:val="24"/>
          <w:highlight w:val="none"/>
        </w:rPr>
        <w:t>·网卡：10/100/1000M自适应网卡，每台计算机配置双网卡；</w:t>
      </w:r>
    </w:p>
    <w:p>
      <w:pPr>
        <w:spacing w:line="360" w:lineRule="auto"/>
        <w:ind w:firstLine="480"/>
        <w:rPr>
          <w:rFonts w:ascii="宋体" w:hAnsi="宋体" w:cs="宋体"/>
          <w:sz w:val="24"/>
          <w:highlight w:val="none"/>
        </w:rPr>
      </w:pPr>
      <w:r>
        <w:rPr>
          <w:rFonts w:hint="eastAsia" w:ascii="宋体" w:hAnsi="宋体" w:cs="宋体"/>
          <w:sz w:val="24"/>
          <w:highlight w:val="none"/>
        </w:rPr>
        <w:t>·USB键盘、鼠标套件；</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·显示器：27寸专业级宽屏LED显示屏，分辨率1920×1080；显示器可升高、降低、旋转调节；支持DisplayPort接口；</w:t>
      </w:r>
    </w:p>
    <w:p>
      <w:pPr>
        <w:pStyle w:val="9"/>
        <w:spacing w:line="360" w:lineRule="auto"/>
        <w:rPr>
          <w:rFonts w:ascii="宋体" w:hAnsi="宋体" w:cs="宋体"/>
          <w:sz w:val="24"/>
          <w:szCs w:val="24"/>
          <w:highlight w:val="none"/>
        </w:rPr>
      </w:pPr>
      <w:bookmarkStart w:id="123" w:name="_Toc38389301"/>
      <w:r>
        <w:rPr>
          <w:rFonts w:hint="eastAsia" w:ascii="宋体" w:hAnsi="宋体" w:cs="宋体"/>
          <w:sz w:val="24"/>
          <w:szCs w:val="24"/>
          <w:highlight w:val="none"/>
        </w:rPr>
        <w:t>2.2.9.2中央归档服务器技术参数及要求</w:t>
      </w:r>
      <w:bookmarkEnd w:id="123"/>
    </w:p>
    <w:p>
      <w:pPr>
        <w:spacing w:line="360" w:lineRule="auto"/>
        <w:ind w:left="661" w:leftChars="200" w:hanging="241" w:hangingChars="100"/>
        <w:rPr>
          <w:rFonts w:ascii="宋体" w:hAnsi="宋体" w:cs="宋体"/>
          <w:sz w:val="24"/>
          <w:highlight w:val="none"/>
        </w:rPr>
      </w:pPr>
      <w:r>
        <w:rPr>
          <w:rFonts w:hint="eastAsia" w:ascii="宋体" w:hAnsi="宋体" w:cs="宋体"/>
          <w:b/>
          <w:sz w:val="24"/>
          <w:highlight w:val="none"/>
        </w:rPr>
        <w:t>样式：</w:t>
      </w:r>
      <w:r>
        <w:rPr>
          <w:rFonts w:hint="eastAsia" w:ascii="宋体" w:hAnsi="宋体" w:cs="宋体"/>
          <w:sz w:val="24"/>
          <w:highlight w:val="none"/>
        </w:rPr>
        <w:t>2U机架式服务器</w:t>
      </w:r>
    </w:p>
    <w:p>
      <w:pPr>
        <w:spacing w:line="360" w:lineRule="auto"/>
        <w:ind w:left="661" w:leftChars="200" w:hanging="241" w:hangingChars="100"/>
        <w:rPr>
          <w:rFonts w:ascii="宋体" w:hAnsi="宋体" w:cs="宋体"/>
          <w:sz w:val="24"/>
          <w:highlight w:val="none"/>
        </w:rPr>
      </w:pPr>
      <w:r>
        <w:rPr>
          <w:rFonts w:hint="eastAsia" w:ascii="宋体" w:hAnsi="宋体" w:cs="宋体"/>
          <w:b/>
          <w:sz w:val="24"/>
          <w:highlight w:val="none"/>
        </w:rPr>
        <w:t>处理器：</w:t>
      </w:r>
      <w:r>
        <w:rPr>
          <w:rFonts w:hint="eastAsia" w:ascii="宋体" w:hAnsi="宋体" w:cs="宋体"/>
          <w:sz w:val="24"/>
          <w:highlight w:val="none"/>
        </w:rPr>
        <w:t>单个英特尔至强银牌4210 2.2G, 10C/20T, 9.6GT/s, 13.75M缓存；</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（支持额外扩展至2个第二代英特尔®至强®可扩展处理器）</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内存：16GB RDIMM, 2666MT/s, 双列</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 xml:space="preserve">RAID/内置存储控制器：PERC </w:t>
      </w:r>
      <w:r>
        <w:rPr>
          <w:rFonts w:hint="eastAsia" w:ascii="宋体" w:hAnsi="宋体" w:cs="宋体"/>
          <w:color w:val="444444"/>
          <w:sz w:val="24"/>
          <w:highlight w:val="none"/>
          <w:shd w:val="clear" w:color="auto" w:fill="FFFFFF"/>
        </w:rPr>
        <w:t>H730P</w:t>
      </w:r>
      <w:r>
        <w:rPr>
          <w:rFonts w:hint="eastAsia" w:ascii="宋体" w:hAnsi="宋体" w:cs="宋体"/>
          <w:sz w:val="24"/>
          <w:highlight w:val="none"/>
        </w:rPr>
        <w:t>+ RAID 控制器, LP</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硬盘：2TB 7.2K RPM SATA 6Gbps 512n 3.5英寸热插拔硬盘*2（组RAID1）</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（支持最多可扩展至）&gt;=12个3.5"硬盘）</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操作系统：windows Sever2019标准版</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支持iDRAC 远程服务模块</w:t>
      </w:r>
    </w:p>
    <w:p>
      <w:pPr>
        <w:pStyle w:val="9"/>
        <w:spacing w:line="360" w:lineRule="auto"/>
        <w:rPr>
          <w:rFonts w:ascii="宋体" w:hAnsi="宋体" w:cs="宋体"/>
          <w:sz w:val="24"/>
          <w:szCs w:val="24"/>
          <w:highlight w:val="none"/>
        </w:rPr>
      </w:pPr>
      <w:bookmarkStart w:id="124" w:name="_Toc38389302"/>
      <w:r>
        <w:rPr>
          <w:rFonts w:hint="eastAsia" w:ascii="宋体" w:hAnsi="宋体" w:cs="宋体"/>
          <w:sz w:val="24"/>
          <w:szCs w:val="24"/>
          <w:highlight w:val="none"/>
        </w:rPr>
        <w:t>2.2.9.3监控组态软件(SCADA)技术参数及要求</w:t>
      </w:r>
      <w:bookmarkEnd w:id="124"/>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上位监控组态软件是面向SCADA系统的软件平台工具，采用不同的版本安装在两台中央监控计算机上，使得两台中央监控计算机组成中控室操作站，实现全厂的SCADA监控功能，其中一台还需具有开发功能兼做工程师站。</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系统监控组态软件本身及相关文档均为中文版本。应该具有全图形化界面、全集成、面向对象的开发方式，使得系统开发人员使用方便、简单易学。功能覆盖广，软件组合灵活，高效性、内在结构和机制的先进性应确保用户可快速开发出实用而有效的自动化监控系统。系统应支持在各种语言版本的操作系统上运行，可在画面中同时使用汉字及其他多国文字和符号，具备全中文的开发和运行环境。工程师／操作员站监控、组态必须的软件均基于Windows系列操作系统，且必须提供Windows下的在线帮助功能。使用该系列软件开发出的工程应具备项目文件备份功能，并且应支持工程文件口令保护。工程师站应可对整个系统设置安全管理。支持使用用户，权限，优先级，安全区的方式为用户提供安全验证。</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需采用欧美品牌国际领先的SCADA系统监控组态软件。软件等需选用目前市面上所能采购到的最新版本。运行在Windows</w:t>
      </w:r>
      <w:r>
        <w:rPr>
          <w:rFonts w:ascii="宋体" w:hAnsi="宋体" w:cs="宋体"/>
          <w:spacing w:val="6"/>
          <w:sz w:val="24"/>
          <w:highlight w:val="none"/>
        </w:rPr>
        <w:t>10</w:t>
      </w:r>
      <w:r>
        <w:rPr>
          <w:rFonts w:hint="eastAsia" w:ascii="宋体" w:hAnsi="宋体" w:cs="宋体"/>
          <w:spacing w:val="6"/>
          <w:sz w:val="24"/>
          <w:highlight w:val="none"/>
        </w:rPr>
        <w:t>中文版操作系统上，应具有高可靠性、开放性特点，必须是有授权的、正版的授权版本。</w:t>
      </w:r>
    </w:p>
    <w:p>
      <w:pPr>
        <w:pStyle w:val="6"/>
        <w:spacing w:line="360" w:lineRule="auto"/>
        <w:rPr>
          <w:rFonts w:ascii="宋体" w:hAnsi="宋体" w:cs="宋体"/>
          <w:sz w:val="24"/>
          <w:szCs w:val="24"/>
          <w:highlight w:val="none"/>
        </w:rPr>
      </w:pPr>
    </w:p>
    <w:p>
      <w:pPr>
        <w:pStyle w:val="73"/>
        <w:numPr>
          <w:ilvl w:val="0"/>
          <w:numId w:val="14"/>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组态软件包括软件和二次开发所必须的软件。这些软件必须是成熟的软件，并具有广泛的类似工程的应用业绩。</w:t>
      </w:r>
    </w:p>
    <w:p>
      <w:pPr>
        <w:pStyle w:val="73"/>
        <w:numPr>
          <w:ilvl w:val="0"/>
          <w:numId w:val="14"/>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软件应采用当前最先进的技术、系统的配置和画面的组态具有方便性，而且系统的体系结构应该是灵活和开放的。</w:t>
      </w:r>
    </w:p>
    <w:p>
      <w:pPr>
        <w:pStyle w:val="73"/>
        <w:numPr>
          <w:ilvl w:val="0"/>
          <w:numId w:val="14"/>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根据工艺的要求，监视和控制软件实时运行；</w:t>
      </w:r>
    </w:p>
    <w:p>
      <w:pPr>
        <w:pStyle w:val="73"/>
        <w:numPr>
          <w:ilvl w:val="0"/>
          <w:numId w:val="14"/>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★采用自控领域工业级的监控软件，并且与PLC相同品牌，同一厂商的成熟产品，方便上位机与PLC之间的无缝通信集成，确保兼容性。（提供产品彩页或官网资料截图）</w:t>
      </w:r>
    </w:p>
    <w:p>
      <w:pPr>
        <w:pStyle w:val="73"/>
        <w:numPr>
          <w:ilvl w:val="0"/>
          <w:numId w:val="14"/>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且满足以下要求：</w:t>
      </w:r>
    </w:p>
    <w:p>
      <w:pPr>
        <w:pStyle w:val="73"/>
        <w:numPr>
          <w:ilvl w:val="0"/>
          <w:numId w:val="15"/>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具备高可靠性、实时性、稳定性；</w:t>
      </w:r>
    </w:p>
    <w:p>
      <w:pPr>
        <w:pStyle w:val="73"/>
        <w:numPr>
          <w:ilvl w:val="0"/>
          <w:numId w:val="15"/>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支持Microsoft Windows10 ，64位系统平台；</w:t>
      </w:r>
    </w:p>
    <w:p>
      <w:pPr>
        <w:pStyle w:val="73"/>
        <w:numPr>
          <w:ilvl w:val="0"/>
          <w:numId w:val="15"/>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支持多种架构模式，单用户项目，多用项目，服务器冗余等功能；</w:t>
      </w:r>
    </w:p>
    <w:p>
      <w:pPr>
        <w:pStyle w:val="73"/>
        <w:numPr>
          <w:ilvl w:val="0"/>
          <w:numId w:val="15"/>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 xml:space="preserve">采用多任务工业标准技术，保证其开放性及可扩展性； </w:t>
      </w:r>
    </w:p>
    <w:p>
      <w:pPr>
        <w:pStyle w:val="73"/>
        <w:numPr>
          <w:ilvl w:val="0"/>
          <w:numId w:val="15"/>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支持多种脚本系统 (VBS/VBA, C-Script)；</w:t>
      </w:r>
    </w:p>
    <w:p>
      <w:pPr>
        <w:pStyle w:val="73"/>
        <w:numPr>
          <w:ilvl w:val="0"/>
          <w:numId w:val="15"/>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内置多种品牌PLC的I/O驱动；</w:t>
      </w:r>
    </w:p>
    <w:p>
      <w:pPr>
        <w:pStyle w:val="73"/>
        <w:numPr>
          <w:ilvl w:val="0"/>
          <w:numId w:val="15"/>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内置历史数据记录系统，基于SQL无需再单独购买；</w:t>
      </w:r>
    </w:p>
    <w:p>
      <w:pPr>
        <w:pStyle w:val="73"/>
        <w:numPr>
          <w:ilvl w:val="0"/>
          <w:numId w:val="15"/>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支持Historian中央归档；</w:t>
      </w:r>
    </w:p>
    <w:p>
      <w:pPr>
        <w:pStyle w:val="73"/>
        <w:numPr>
          <w:ilvl w:val="0"/>
          <w:numId w:val="15"/>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内置报表系统；</w:t>
      </w:r>
    </w:p>
    <w:p>
      <w:pPr>
        <w:pStyle w:val="73"/>
        <w:numPr>
          <w:ilvl w:val="0"/>
          <w:numId w:val="15"/>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具有良好的可移植性、可扩展性和联网功能。便于功能和系统的扩展及升级；</w:t>
      </w:r>
    </w:p>
    <w:p>
      <w:pPr>
        <w:pStyle w:val="73"/>
        <w:numPr>
          <w:ilvl w:val="0"/>
          <w:numId w:val="15"/>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全面支持OPC规范 (DA, HDA, A&amp;E, XML)；</w:t>
      </w:r>
    </w:p>
    <w:p>
      <w:pPr>
        <w:pStyle w:val="73"/>
        <w:numPr>
          <w:ilvl w:val="0"/>
          <w:numId w:val="15"/>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可设置不同级别用户组及用户权限，对于不同级别的用户在系统中的操作应受到相关的操作限制；</w:t>
      </w:r>
    </w:p>
    <w:p>
      <w:pPr>
        <w:pStyle w:val="73"/>
        <w:numPr>
          <w:ilvl w:val="0"/>
          <w:numId w:val="14"/>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具有动态画面显示功能、报警、报表输出功能、趋势功能、实时历史数据存储功能。软件应采用全中文操作模式，能够组态中文显示画面等功能，具体如下：</w:t>
      </w:r>
    </w:p>
    <w:p>
      <w:pPr>
        <w:pStyle w:val="73"/>
        <w:numPr>
          <w:ilvl w:val="0"/>
          <w:numId w:val="16"/>
        </w:numPr>
        <w:spacing w:line="360" w:lineRule="auto"/>
        <w:ind w:firstLineChars="0"/>
        <w:rPr>
          <w:rFonts w:ascii="宋体" w:hAnsi="宋体" w:cs="宋体"/>
          <w:b/>
          <w:sz w:val="24"/>
          <w:szCs w:val="24"/>
          <w:highlight w:val="none"/>
        </w:rPr>
      </w:pPr>
      <w:r>
        <w:rPr>
          <w:rFonts w:hint="eastAsia" w:ascii="宋体" w:hAnsi="宋体" w:cs="宋体"/>
          <w:b/>
          <w:sz w:val="24"/>
          <w:szCs w:val="24"/>
          <w:highlight w:val="none"/>
        </w:rPr>
        <w:t>画面功能</w:t>
      </w:r>
    </w:p>
    <w:p>
      <w:pPr>
        <w:spacing w:line="360" w:lineRule="auto"/>
        <w:ind w:firstLine="480"/>
        <w:rPr>
          <w:rFonts w:ascii="宋体" w:hAnsi="宋体" w:cs="宋体"/>
          <w:sz w:val="24"/>
          <w:highlight w:val="none"/>
        </w:rPr>
      </w:pPr>
      <w:r>
        <w:rPr>
          <w:rFonts w:hint="eastAsia" w:ascii="宋体" w:hAnsi="宋体" w:cs="宋体"/>
          <w:sz w:val="24"/>
          <w:highlight w:val="none"/>
        </w:rPr>
        <w:t>液晶显示器画面为操作员了解生产过程状态提供了显示窗口，并能支持以下几类画面</w:t>
      </w:r>
    </w:p>
    <w:p>
      <w:pPr>
        <w:pStyle w:val="73"/>
        <w:numPr>
          <w:ilvl w:val="0"/>
          <w:numId w:val="17"/>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总貌画面</w:t>
      </w:r>
    </w:p>
    <w:p>
      <w:pPr>
        <w:spacing w:line="360" w:lineRule="auto"/>
        <w:ind w:firstLine="480"/>
        <w:rPr>
          <w:rFonts w:ascii="宋体" w:hAnsi="宋体" w:cs="宋体"/>
          <w:sz w:val="24"/>
          <w:highlight w:val="none"/>
        </w:rPr>
      </w:pPr>
      <w:r>
        <w:rPr>
          <w:rFonts w:hint="eastAsia" w:ascii="宋体" w:hAnsi="宋体" w:cs="宋体"/>
          <w:sz w:val="24"/>
          <w:highlight w:val="none"/>
        </w:rPr>
        <w:t>显示厂区整个工艺流程画面，从该画面中至少能体现出各工艺的重要过程仪表数值、各个工艺设备的状态。通过点击各个工艺可调出其对应工艺的分组画面。</w:t>
      </w:r>
    </w:p>
    <w:p>
      <w:pPr>
        <w:pStyle w:val="73"/>
        <w:numPr>
          <w:ilvl w:val="0"/>
          <w:numId w:val="17"/>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分组（子）画面</w:t>
      </w:r>
    </w:p>
    <w:p>
      <w:pPr>
        <w:spacing w:line="360" w:lineRule="auto"/>
        <w:ind w:firstLine="480"/>
        <w:rPr>
          <w:rFonts w:ascii="宋体" w:hAnsi="宋体" w:cs="宋体"/>
          <w:sz w:val="24"/>
          <w:highlight w:val="none"/>
        </w:rPr>
      </w:pPr>
      <w:r>
        <w:rPr>
          <w:rFonts w:hint="eastAsia" w:ascii="宋体" w:hAnsi="宋体" w:cs="宋体"/>
          <w:sz w:val="24"/>
          <w:highlight w:val="none"/>
        </w:rPr>
        <w:t>显示各个工艺布局画面、各个工艺参数设置画面、各设备控制及画面及其它所有的子画面。子画面切换以操作简洁、高效为主。</w:t>
      </w:r>
    </w:p>
    <w:p>
      <w:pPr>
        <w:pStyle w:val="73"/>
        <w:numPr>
          <w:ilvl w:val="0"/>
          <w:numId w:val="17"/>
        </w:numPr>
        <w:spacing w:line="360" w:lineRule="auto"/>
        <w:ind w:firstLineChars="0"/>
        <w:rPr>
          <w:rFonts w:ascii="宋体" w:hAnsi="宋体" w:cs="宋体"/>
          <w:sz w:val="24"/>
          <w:szCs w:val="24"/>
          <w:highlight w:val="none"/>
        </w:rPr>
      </w:pPr>
      <w:r>
        <w:rPr>
          <w:rFonts w:hint="eastAsia" w:ascii="宋体" w:hAnsi="宋体" w:cs="宋体"/>
          <w:sz w:val="24"/>
          <w:szCs w:val="24"/>
          <w:highlight w:val="none"/>
        </w:rPr>
        <w:t>报警画面</w:t>
      </w:r>
    </w:p>
    <w:p>
      <w:pPr>
        <w:spacing w:line="360" w:lineRule="auto"/>
        <w:ind w:firstLine="480"/>
        <w:rPr>
          <w:rFonts w:ascii="宋体" w:hAnsi="宋体" w:cs="宋体"/>
          <w:sz w:val="24"/>
          <w:highlight w:val="none"/>
        </w:rPr>
      </w:pPr>
      <w:r>
        <w:rPr>
          <w:rFonts w:hint="eastAsia" w:ascii="宋体" w:hAnsi="宋体" w:cs="宋体"/>
          <w:sz w:val="24"/>
          <w:highlight w:val="none"/>
        </w:rPr>
        <w:t>显示当前所有正在进行的过程参数报警和系统硬件故障报警，并按报警的时间顺序从最新发生的报警开始排起，报警优先级别和状态用不同的颜色来区别，未经确认的报警处于闪烁状态。</w:t>
      </w:r>
    </w:p>
    <w:p>
      <w:pPr>
        <w:spacing w:line="360" w:lineRule="auto"/>
        <w:ind w:firstLine="480"/>
        <w:rPr>
          <w:rFonts w:ascii="宋体" w:hAnsi="宋体" w:cs="宋体"/>
          <w:sz w:val="24"/>
          <w:highlight w:val="none"/>
        </w:rPr>
      </w:pPr>
      <w:r>
        <w:rPr>
          <w:rFonts w:hint="eastAsia" w:ascii="宋体" w:hAnsi="宋体" w:cs="宋体"/>
          <w:sz w:val="24"/>
          <w:highlight w:val="none"/>
        </w:rPr>
        <w:t>·系统至少应对以下（不仅限）状态进行报警：</w:t>
      </w:r>
    </w:p>
    <w:p>
      <w:pPr>
        <w:spacing w:line="360" w:lineRule="auto"/>
        <w:ind w:firstLine="480"/>
        <w:rPr>
          <w:rFonts w:ascii="宋体" w:hAnsi="宋体" w:cs="宋体"/>
          <w:sz w:val="24"/>
          <w:highlight w:val="none"/>
        </w:rPr>
      </w:pPr>
      <w:r>
        <w:rPr>
          <w:rFonts w:hint="eastAsia" w:ascii="宋体" w:hAnsi="宋体" w:cs="宋体"/>
          <w:sz w:val="24"/>
          <w:highlight w:val="none"/>
        </w:rPr>
        <w:t>·系统状态报警（系统运行、停止状态及其它系统异常报告）</w:t>
      </w:r>
    </w:p>
    <w:p>
      <w:pPr>
        <w:spacing w:line="360" w:lineRule="auto"/>
        <w:ind w:firstLine="480"/>
        <w:rPr>
          <w:rFonts w:ascii="宋体" w:hAnsi="宋体" w:cs="宋体"/>
          <w:sz w:val="24"/>
          <w:highlight w:val="none"/>
        </w:rPr>
      </w:pPr>
      <w:r>
        <w:rPr>
          <w:rFonts w:hint="eastAsia" w:ascii="宋体" w:hAnsi="宋体" w:cs="宋体"/>
          <w:sz w:val="24"/>
          <w:highlight w:val="none"/>
        </w:rPr>
        <w:t>·通讯状态报警（上位机与控制站间的通讯状态）</w:t>
      </w:r>
    </w:p>
    <w:p>
      <w:pPr>
        <w:spacing w:line="360" w:lineRule="auto"/>
        <w:ind w:firstLine="480"/>
        <w:rPr>
          <w:rFonts w:ascii="宋体" w:hAnsi="宋体" w:cs="宋体"/>
          <w:sz w:val="24"/>
          <w:highlight w:val="none"/>
        </w:rPr>
      </w:pPr>
      <w:r>
        <w:rPr>
          <w:rFonts w:hint="eastAsia" w:ascii="宋体" w:hAnsi="宋体" w:cs="宋体"/>
          <w:sz w:val="24"/>
          <w:highlight w:val="none"/>
        </w:rPr>
        <w:t>·过程值的上、下限及其它所需的超限报警</w:t>
      </w:r>
    </w:p>
    <w:p>
      <w:pPr>
        <w:spacing w:line="360" w:lineRule="auto"/>
        <w:ind w:firstLine="480"/>
        <w:rPr>
          <w:rFonts w:ascii="宋体" w:hAnsi="宋体" w:cs="宋体"/>
          <w:sz w:val="24"/>
          <w:highlight w:val="none"/>
        </w:rPr>
      </w:pPr>
      <w:r>
        <w:rPr>
          <w:rFonts w:hint="eastAsia" w:ascii="宋体" w:hAnsi="宋体" w:cs="宋体"/>
          <w:sz w:val="24"/>
          <w:highlight w:val="none"/>
        </w:rPr>
        <w:t>·仪器、仪表异常报警（断电、断线、仪表损坏等）</w:t>
      </w:r>
    </w:p>
    <w:p>
      <w:pPr>
        <w:spacing w:line="360" w:lineRule="auto"/>
        <w:ind w:firstLine="480"/>
        <w:rPr>
          <w:rFonts w:ascii="宋体" w:hAnsi="宋体" w:cs="宋体"/>
          <w:sz w:val="24"/>
          <w:highlight w:val="none"/>
        </w:rPr>
      </w:pPr>
      <w:r>
        <w:rPr>
          <w:rFonts w:hint="eastAsia" w:ascii="宋体" w:hAnsi="宋体" w:cs="宋体"/>
          <w:sz w:val="24"/>
          <w:highlight w:val="none"/>
        </w:rPr>
        <w:t>·设备故障报警</w:t>
      </w:r>
    </w:p>
    <w:p>
      <w:pPr>
        <w:spacing w:line="360" w:lineRule="auto"/>
        <w:ind w:firstLine="480"/>
        <w:rPr>
          <w:rFonts w:ascii="宋体" w:hAnsi="宋体" w:cs="宋体"/>
          <w:sz w:val="24"/>
          <w:highlight w:val="none"/>
        </w:rPr>
      </w:pPr>
      <w:r>
        <w:rPr>
          <w:rFonts w:hint="eastAsia" w:ascii="宋体" w:hAnsi="宋体" w:cs="宋体"/>
          <w:sz w:val="24"/>
          <w:highlight w:val="none"/>
        </w:rPr>
        <w:t>·其它警告类报警</w:t>
      </w:r>
    </w:p>
    <w:p>
      <w:pPr>
        <w:spacing w:line="360" w:lineRule="auto"/>
        <w:ind w:firstLine="480"/>
        <w:rPr>
          <w:rFonts w:ascii="宋体" w:hAnsi="宋体" w:cs="宋体"/>
          <w:sz w:val="24"/>
          <w:highlight w:val="none"/>
        </w:rPr>
      </w:pPr>
      <w:r>
        <w:rPr>
          <w:rFonts w:hint="eastAsia" w:ascii="宋体" w:hAnsi="宋体" w:cs="宋体"/>
          <w:sz w:val="24"/>
          <w:highlight w:val="none"/>
        </w:rPr>
        <w:t>每条被触发的报警至少包括以下内容：</w:t>
      </w:r>
    </w:p>
    <w:p>
      <w:pPr>
        <w:spacing w:line="360" w:lineRule="auto"/>
        <w:ind w:firstLine="480"/>
        <w:rPr>
          <w:rFonts w:ascii="宋体" w:hAnsi="宋体" w:cs="宋体"/>
          <w:sz w:val="24"/>
          <w:highlight w:val="none"/>
        </w:rPr>
      </w:pPr>
      <w:r>
        <w:rPr>
          <w:rFonts w:hint="eastAsia" w:ascii="宋体" w:hAnsi="宋体" w:cs="宋体"/>
          <w:sz w:val="24"/>
          <w:highlight w:val="none"/>
        </w:rPr>
        <w:t>·报警日期/时间</w:t>
      </w:r>
    </w:p>
    <w:p>
      <w:pPr>
        <w:spacing w:line="360" w:lineRule="auto"/>
        <w:ind w:firstLine="480"/>
        <w:rPr>
          <w:rFonts w:ascii="宋体" w:hAnsi="宋体" w:cs="宋体"/>
          <w:sz w:val="24"/>
          <w:highlight w:val="none"/>
        </w:rPr>
      </w:pPr>
      <w:r>
        <w:rPr>
          <w:rFonts w:hint="eastAsia" w:ascii="宋体" w:hAnsi="宋体" w:cs="宋体"/>
          <w:sz w:val="24"/>
          <w:highlight w:val="none"/>
        </w:rPr>
        <w:t>·报警的过程变量名（过程仪表或者设备名称）</w:t>
      </w:r>
    </w:p>
    <w:p>
      <w:pPr>
        <w:spacing w:line="360" w:lineRule="auto"/>
        <w:ind w:firstLine="480"/>
        <w:rPr>
          <w:rFonts w:ascii="宋体" w:hAnsi="宋体" w:cs="宋体"/>
          <w:sz w:val="24"/>
          <w:highlight w:val="none"/>
        </w:rPr>
      </w:pPr>
      <w:r>
        <w:rPr>
          <w:rFonts w:hint="eastAsia" w:ascii="宋体" w:hAnsi="宋体" w:cs="宋体"/>
          <w:sz w:val="24"/>
          <w:highlight w:val="none"/>
        </w:rPr>
        <w:t>·报警设备所在的工艺名称（报警点）</w:t>
      </w:r>
    </w:p>
    <w:p>
      <w:pPr>
        <w:spacing w:line="360" w:lineRule="auto"/>
        <w:ind w:firstLine="480"/>
        <w:rPr>
          <w:rFonts w:ascii="宋体" w:hAnsi="宋体" w:cs="宋体"/>
          <w:sz w:val="24"/>
          <w:highlight w:val="none"/>
        </w:rPr>
      </w:pPr>
      <w:r>
        <w:rPr>
          <w:rFonts w:hint="eastAsia" w:ascii="宋体" w:hAnsi="宋体" w:cs="宋体"/>
          <w:sz w:val="24"/>
          <w:highlight w:val="none"/>
        </w:rPr>
        <w:t>·报警原因及故障排除指导</w:t>
      </w:r>
    </w:p>
    <w:p>
      <w:pPr>
        <w:spacing w:line="360" w:lineRule="auto"/>
        <w:ind w:firstLine="480"/>
        <w:rPr>
          <w:rFonts w:ascii="宋体" w:hAnsi="宋体" w:cs="宋体"/>
          <w:sz w:val="24"/>
          <w:highlight w:val="none"/>
        </w:rPr>
      </w:pPr>
      <w:r>
        <w:rPr>
          <w:rFonts w:hint="eastAsia" w:ascii="宋体" w:hAnsi="宋体" w:cs="宋体"/>
          <w:sz w:val="24"/>
          <w:highlight w:val="none"/>
        </w:rPr>
        <w:t>·过程变量的当前值</w:t>
      </w:r>
    </w:p>
    <w:p>
      <w:pPr>
        <w:spacing w:line="360" w:lineRule="auto"/>
        <w:ind w:firstLine="480"/>
        <w:rPr>
          <w:rFonts w:ascii="宋体" w:hAnsi="宋体" w:cs="宋体"/>
          <w:sz w:val="24"/>
          <w:highlight w:val="none"/>
        </w:rPr>
      </w:pPr>
      <w:r>
        <w:rPr>
          <w:rFonts w:hint="eastAsia" w:ascii="宋体" w:hAnsi="宋体" w:cs="宋体"/>
          <w:sz w:val="24"/>
          <w:highlight w:val="none"/>
        </w:rPr>
        <w:t>·报警设定值</w:t>
      </w:r>
    </w:p>
    <w:p>
      <w:pPr>
        <w:spacing w:line="360" w:lineRule="auto"/>
        <w:ind w:firstLine="480"/>
        <w:rPr>
          <w:rFonts w:ascii="宋体" w:hAnsi="宋体" w:cs="宋体"/>
          <w:sz w:val="24"/>
          <w:highlight w:val="none"/>
        </w:rPr>
      </w:pPr>
      <w:r>
        <w:rPr>
          <w:rFonts w:hint="eastAsia" w:ascii="宋体" w:hAnsi="宋体" w:cs="宋体"/>
          <w:sz w:val="24"/>
          <w:highlight w:val="none"/>
        </w:rPr>
        <w:t>·报警优先级别</w:t>
      </w:r>
    </w:p>
    <w:p>
      <w:pPr>
        <w:pStyle w:val="73"/>
        <w:numPr>
          <w:ilvl w:val="0"/>
          <w:numId w:val="16"/>
        </w:numPr>
        <w:spacing w:line="360" w:lineRule="auto"/>
        <w:ind w:firstLineChars="0"/>
        <w:rPr>
          <w:rFonts w:ascii="宋体" w:hAnsi="宋体" w:cs="宋体"/>
          <w:b/>
          <w:sz w:val="24"/>
          <w:szCs w:val="24"/>
          <w:highlight w:val="none"/>
        </w:rPr>
      </w:pPr>
      <w:r>
        <w:rPr>
          <w:rFonts w:hint="eastAsia" w:ascii="宋体" w:hAnsi="宋体" w:cs="宋体"/>
          <w:b/>
          <w:sz w:val="24"/>
          <w:szCs w:val="24"/>
          <w:highlight w:val="none"/>
        </w:rPr>
        <w:t>棒图</w:t>
      </w:r>
    </w:p>
    <w:p>
      <w:pPr>
        <w:spacing w:line="360" w:lineRule="auto"/>
        <w:ind w:firstLine="480"/>
        <w:rPr>
          <w:rFonts w:ascii="宋体" w:hAnsi="宋体" w:cs="宋体"/>
          <w:sz w:val="24"/>
          <w:highlight w:val="none"/>
        </w:rPr>
      </w:pPr>
      <w:r>
        <w:rPr>
          <w:rFonts w:hint="eastAsia" w:ascii="宋体" w:hAnsi="宋体" w:cs="宋体"/>
          <w:sz w:val="24"/>
          <w:highlight w:val="none"/>
        </w:rPr>
        <w:t>用棒图表达部分过程变量的变化，如工艺池内的液位，PID设定值及反馈值等。棒图能以水平或垂直方式显示。</w:t>
      </w:r>
    </w:p>
    <w:p>
      <w:pPr>
        <w:pStyle w:val="73"/>
        <w:numPr>
          <w:ilvl w:val="0"/>
          <w:numId w:val="16"/>
        </w:numPr>
        <w:spacing w:line="360" w:lineRule="auto"/>
        <w:ind w:firstLineChars="0"/>
        <w:rPr>
          <w:rFonts w:ascii="宋体" w:hAnsi="宋体" w:cs="宋体"/>
          <w:b/>
          <w:sz w:val="24"/>
          <w:szCs w:val="24"/>
          <w:highlight w:val="none"/>
        </w:rPr>
      </w:pPr>
      <w:r>
        <w:rPr>
          <w:rFonts w:hint="eastAsia" w:ascii="宋体" w:hAnsi="宋体" w:cs="宋体"/>
          <w:b/>
          <w:sz w:val="24"/>
          <w:szCs w:val="24"/>
          <w:highlight w:val="none"/>
        </w:rPr>
        <w:t>历史趋势（曲线）</w:t>
      </w:r>
    </w:p>
    <w:p>
      <w:pPr>
        <w:spacing w:line="360" w:lineRule="auto"/>
        <w:ind w:firstLine="480"/>
        <w:rPr>
          <w:rFonts w:ascii="宋体" w:hAnsi="宋体" w:cs="宋体"/>
          <w:sz w:val="24"/>
          <w:highlight w:val="none"/>
        </w:rPr>
      </w:pPr>
      <w:r>
        <w:rPr>
          <w:rFonts w:hint="eastAsia" w:ascii="宋体" w:hAnsi="宋体" w:cs="宋体"/>
          <w:sz w:val="24"/>
          <w:highlight w:val="none"/>
        </w:rPr>
        <w:t>对所有的过程变量含在线检测仪表、电流、电压等历史记录可通过各种趋势的形式进行查看，并可在趋势中对过程值进行分析，如某段时间内的最大值、最小值、平均值、标准差等信息。趋势中应有标尺、数据导出、时间范围设定、时间/数值(X/Y)轴设置、分析计算等功能。</w:t>
      </w:r>
    </w:p>
    <w:p>
      <w:pPr>
        <w:pStyle w:val="73"/>
        <w:numPr>
          <w:ilvl w:val="0"/>
          <w:numId w:val="16"/>
        </w:numPr>
        <w:spacing w:line="360" w:lineRule="auto"/>
        <w:ind w:firstLineChars="0"/>
        <w:rPr>
          <w:rFonts w:ascii="宋体" w:hAnsi="宋体" w:cs="宋体"/>
          <w:b/>
          <w:sz w:val="24"/>
          <w:szCs w:val="24"/>
          <w:highlight w:val="none"/>
        </w:rPr>
      </w:pPr>
      <w:r>
        <w:rPr>
          <w:rFonts w:hint="eastAsia" w:ascii="宋体" w:hAnsi="宋体" w:cs="宋体"/>
          <w:b/>
          <w:sz w:val="24"/>
          <w:szCs w:val="24"/>
          <w:highlight w:val="none"/>
        </w:rPr>
        <w:t>报表功能</w:t>
      </w:r>
    </w:p>
    <w:p>
      <w:pPr>
        <w:spacing w:line="360" w:lineRule="auto"/>
        <w:ind w:firstLine="480"/>
        <w:rPr>
          <w:rFonts w:ascii="宋体" w:hAnsi="宋体" w:cs="宋体"/>
          <w:sz w:val="24"/>
          <w:highlight w:val="none"/>
        </w:rPr>
      </w:pPr>
      <w:r>
        <w:rPr>
          <w:rFonts w:hint="eastAsia" w:ascii="宋体" w:hAnsi="宋体" w:cs="宋体"/>
          <w:sz w:val="24"/>
          <w:highlight w:val="none"/>
        </w:rPr>
        <w:t>控制系统按照预先定义的格式制定报表，报表数据的收集和打印是按照用户定义的时间间隔自动进行采集与统计。</w:t>
      </w:r>
    </w:p>
    <w:p>
      <w:pPr>
        <w:pStyle w:val="73"/>
        <w:numPr>
          <w:ilvl w:val="0"/>
          <w:numId w:val="16"/>
        </w:numPr>
        <w:spacing w:line="360" w:lineRule="auto"/>
        <w:ind w:firstLineChars="0"/>
        <w:rPr>
          <w:rFonts w:ascii="宋体" w:hAnsi="宋体" w:cs="宋体"/>
          <w:b/>
          <w:sz w:val="24"/>
          <w:szCs w:val="24"/>
          <w:highlight w:val="none"/>
        </w:rPr>
      </w:pPr>
      <w:r>
        <w:rPr>
          <w:rFonts w:hint="eastAsia" w:ascii="宋体" w:hAnsi="宋体" w:cs="宋体"/>
          <w:b/>
          <w:sz w:val="24"/>
          <w:szCs w:val="24"/>
          <w:highlight w:val="none"/>
        </w:rPr>
        <w:t>历史数据存储功能</w:t>
      </w:r>
    </w:p>
    <w:p>
      <w:pPr>
        <w:spacing w:line="360" w:lineRule="auto"/>
        <w:ind w:firstLine="480"/>
        <w:rPr>
          <w:rFonts w:ascii="宋体" w:hAnsi="宋体" w:cs="宋体"/>
          <w:sz w:val="24"/>
          <w:highlight w:val="none"/>
        </w:rPr>
      </w:pPr>
      <w:r>
        <w:rPr>
          <w:rFonts w:hint="eastAsia" w:ascii="宋体" w:hAnsi="宋体" w:cs="宋体"/>
          <w:sz w:val="24"/>
          <w:highlight w:val="none"/>
        </w:rPr>
        <w:t>控制系统应对过程变量、报警、操作指令的变化等事件及其日期、时间作为历史数据加以储存。应有足够的能记录三年以上历史数据的磁介质存储空间，并具有可扩充至外部存储设备。当发生数据丢失及磁介质剩下10%空间时应有报警。</w:t>
      </w:r>
    </w:p>
    <w:p>
      <w:pPr>
        <w:pStyle w:val="73"/>
        <w:numPr>
          <w:ilvl w:val="0"/>
          <w:numId w:val="16"/>
        </w:numPr>
        <w:spacing w:line="360" w:lineRule="auto"/>
        <w:ind w:firstLineChars="0"/>
        <w:rPr>
          <w:rFonts w:ascii="宋体" w:hAnsi="宋体" w:cs="宋体"/>
          <w:b/>
          <w:sz w:val="24"/>
          <w:szCs w:val="24"/>
          <w:highlight w:val="none"/>
        </w:rPr>
      </w:pPr>
      <w:r>
        <w:rPr>
          <w:rFonts w:hint="eastAsia" w:ascii="宋体" w:hAnsi="宋体" w:cs="宋体"/>
          <w:b/>
          <w:sz w:val="24"/>
          <w:szCs w:val="24"/>
          <w:highlight w:val="none"/>
        </w:rPr>
        <w:t>控制系统的自诊断及容错</w:t>
      </w:r>
    </w:p>
    <w:p>
      <w:pPr>
        <w:spacing w:line="360" w:lineRule="auto"/>
        <w:ind w:firstLine="480"/>
        <w:rPr>
          <w:rFonts w:ascii="宋体" w:hAnsi="宋体" w:cs="宋体"/>
          <w:sz w:val="24"/>
          <w:highlight w:val="none"/>
        </w:rPr>
      </w:pPr>
      <w:r>
        <w:rPr>
          <w:rFonts w:hint="eastAsia" w:ascii="宋体" w:hAnsi="宋体" w:cs="宋体"/>
          <w:sz w:val="24"/>
          <w:highlight w:val="none"/>
        </w:rPr>
        <w:t>控制系统应具有完整的自诊断系统，并且定时自动或人工启动诊断系统，并在监控计算机显示器上显示自诊断状态和结果。</w:t>
      </w:r>
    </w:p>
    <w:p>
      <w:pPr>
        <w:spacing w:line="360" w:lineRule="auto"/>
        <w:ind w:firstLine="480"/>
        <w:rPr>
          <w:rFonts w:ascii="宋体" w:hAnsi="宋体" w:cs="宋体"/>
          <w:sz w:val="24"/>
          <w:highlight w:val="none"/>
        </w:rPr>
      </w:pPr>
      <w:r>
        <w:rPr>
          <w:rFonts w:hint="eastAsia" w:ascii="宋体" w:hAnsi="宋体" w:cs="宋体"/>
          <w:sz w:val="24"/>
          <w:highlight w:val="none"/>
        </w:rPr>
        <w:t>自诊断系统包括全面的离线和在线诊断软件，诊断程序能对系统设备故障进行检查。</w:t>
      </w:r>
    </w:p>
    <w:p>
      <w:pPr>
        <w:spacing w:line="360" w:lineRule="auto"/>
        <w:ind w:firstLine="480"/>
        <w:rPr>
          <w:rFonts w:ascii="宋体" w:hAnsi="宋体" w:cs="宋体"/>
          <w:sz w:val="24"/>
          <w:highlight w:val="none"/>
        </w:rPr>
      </w:pPr>
      <w:r>
        <w:rPr>
          <w:rFonts w:hint="eastAsia" w:ascii="宋体" w:hAnsi="宋体" w:cs="宋体"/>
          <w:sz w:val="24"/>
          <w:highlight w:val="none"/>
        </w:rPr>
        <w:t>控制系统系统应具有一定程度的容错能力，即当某些模块发生故障后，不影响整个系统的运行。</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25" w:name="_Toc38389303"/>
      <w:r>
        <w:rPr>
          <w:rFonts w:hint="eastAsia" w:cs="宋体"/>
          <w:sz w:val="24"/>
          <w:szCs w:val="24"/>
          <w:highlight w:val="none"/>
        </w:rPr>
        <w:t>2.2.10 打印机技术参数</w:t>
      </w:r>
      <w:bookmarkEnd w:id="125"/>
    </w:p>
    <w:p>
      <w:pPr>
        <w:spacing w:line="360" w:lineRule="auto"/>
        <w:ind w:firstLine="480"/>
        <w:rPr>
          <w:rFonts w:ascii="宋体" w:hAnsi="宋体" w:cs="宋体"/>
          <w:sz w:val="24"/>
          <w:highlight w:val="none"/>
        </w:rPr>
      </w:pPr>
      <w:r>
        <w:rPr>
          <w:rFonts w:hint="eastAsia" w:ascii="宋体" w:hAnsi="宋体" w:cs="宋体"/>
          <w:sz w:val="24"/>
          <w:highlight w:val="none"/>
        </w:rPr>
        <w:t>·A3、A4幅面彩色喷墨打印机</w:t>
      </w:r>
    </w:p>
    <w:p>
      <w:pPr>
        <w:spacing w:line="360" w:lineRule="auto"/>
        <w:ind w:firstLine="480"/>
        <w:rPr>
          <w:rFonts w:ascii="宋体" w:hAnsi="宋体" w:cs="宋体"/>
          <w:sz w:val="24"/>
          <w:highlight w:val="none"/>
        </w:rPr>
      </w:pPr>
      <w:r>
        <w:rPr>
          <w:rFonts w:hint="eastAsia" w:ascii="宋体" w:hAnsi="宋体" w:cs="宋体"/>
          <w:sz w:val="24"/>
          <w:highlight w:val="none"/>
        </w:rPr>
        <w:t>·速度：彩色大于25ppm</w:t>
      </w:r>
    </w:p>
    <w:p>
      <w:pPr>
        <w:spacing w:line="360" w:lineRule="auto"/>
        <w:ind w:firstLine="480"/>
        <w:rPr>
          <w:rFonts w:ascii="宋体" w:hAnsi="宋体" w:cs="宋体"/>
          <w:sz w:val="24"/>
          <w:highlight w:val="none"/>
        </w:rPr>
      </w:pPr>
      <w:r>
        <w:rPr>
          <w:rFonts w:hint="eastAsia" w:ascii="宋体" w:hAnsi="宋体" w:cs="宋体"/>
          <w:sz w:val="24"/>
          <w:highlight w:val="none"/>
        </w:rPr>
        <w:t>·接口：10/100Mbps RJ45以太网接口；</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26" w:name="_Toc38389304"/>
      <w:r>
        <w:rPr>
          <w:rFonts w:hint="eastAsia" w:cs="宋体"/>
          <w:sz w:val="24"/>
          <w:szCs w:val="24"/>
          <w:highlight w:val="none"/>
        </w:rPr>
        <w:t>2.2.11 UPS电源技术参数</w:t>
      </w:r>
      <w:bookmarkEnd w:id="126"/>
    </w:p>
    <w:p>
      <w:pPr>
        <w:spacing w:line="360" w:lineRule="auto"/>
        <w:ind w:firstLine="480"/>
        <w:rPr>
          <w:rFonts w:ascii="宋体" w:hAnsi="宋体" w:cs="宋体"/>
          <w:sz w:val="24"/>
          <w:highlight w:val="none"/>
        </w:rPr>
      </w:pPr>
      <w:r>
        <w:rPr>
          <w:rFonts w:hint="eastAsia" w:ascii="宋体" w:hAnsi="宋体" w:cs="宋体"/>
          <w:sz w:val="24"/>
          <w:highlight w:val="none"/>
        </w:rPr>
        <w:t>·输入电压：AC140V~AC250V；输出AC220V±２%；频率50HZ；</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·过载能力：105%-125%额定负载，1min后转旁路工作；125%-150%额定负载，30S后转旁路工作；150%额定负载以上，300mS后转旁路工作；</w:t>
      </w:r>
    </w:p>
    <w:p>
      <w:pPr>
        <w:spacing w:line="360" w:lineRule="auto"/>
        <w:ind w:firstLine="480"/>
        <w:rPr>
          <w:rFonts w:ascii="宋体" w:hAnsi="宋体" w:cs="宋体"/>
          <w:sz w:val="24"/>
          <w:highlight w:val="none"/>
        </w:rPr>
      </w:pPr>
      <w:r>
        <w:rPr>
          <w:rFonts w:hint="eastAsia" w:ascii="宋体" w:hAnsi="宋体" w:cs="宋体"/>
          <w:sz w:val="24"/>
          <w:highlight w:val="none"/>
        </w:rPr>
        <w:t>·智能化MCU控制核心技术，采用32位高性能微处理器。</w:t>
      </w:r>
    </w:p>
    <w:p>
      <w:pPr>
        <w:spacing w:line="360" w:lineRule="auto"/>
        <w:ind w:firstLine="480"/>
        <w:rPr>
          <w:rFonts w:ascii="宋体" w:hAnsi="宋体" w:cs="宋体"/>
          <w:sz w:val="24"/>
          <w:highlight w:val="none"/>
        </w:rPr>
      </w:pPr>
      <w:r>
        <w:rPr>
          <w:rFonts w:hint="eastAsia" w:ascii="宋体" w:hAnsi="宋体" w:cs="宋体"/>
          <w:sz w:val="24"/>
          <w:highlight w:val="none"/>
        </w:rPr>
        <w:t>·后备电池供电时间：60分钟；</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·有源输入功率因数校正（PFC），在市电正常时，通过PFC控制使输入功率因数≥0.98，对市电的高利用率，减小了对市电的污染。</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·智能化电池管理系统，可方便对电池进行均浮充管理，过充与过放电的管理，延长蓄电池寿命。</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·完善的保护功能，具有输出过压保护、电池欠压保护、输入过压保护、三重过流保护等功能。</w:t>
      </w:r>
    </w:p>
    <w:p>
      <w:pPr>
        <w:spacing w:line="360" w:lineRule="auto"/>
        <w:ind w:left="660" w:leftChars="200" w:hanging="240" w:hangingChars="100"/>
        <w:rPr>
          <w:rFonts w:ascii="宋体" w:hAnsi="宋体" w:cs="宋体"/>
          <w:sz w:val="24"/>
          <w:highlight w:val="none"/>
        </w:rPr>
      </w:pPr>
      <w:r>
        <w:rPr>
          <w:rFonts w:hint="eastAsia" w:ascii="宋体" w:hAnsi="宋体" w:cs="宋体"/>
          <w:sz w:val="24"/>
          <w:highlight w:val="none"/>
        </w:rPr>
        <w:t>·零切换：市电不稳定时，UPS供电模式的转换时间为零，有效保证了负载运行的安全性和可靠性。</w:t>
      </w:r>
    </w:p>
    <w:p>
      <w:pPr>
        <w:spacing w:line="360" w:lineRule="auto"/>
        <w:ind w:firstLine="480"/>
        <w:rPr>
          <w:rFonts w:ascii="宋体" w:hAnsi="宋体" w:cs="宋体"/>
          <w:sz w:val="24"/>
          <w:highlight w:val="none"/>
        </w:rPr>
      </w:pPr>
      <w:r>
        <w:rPr>
          <w:rFonts w:hint="eastAsia" w:ascii="宋体" w:hAnsi="宋体" w:cs="宋体"/>
          <w:sz w:val="24"/>
          <w:highlight w:val="none"/>
        </w:rPr>
        <w:t>·电池欠压保护后，市电来电正常后能自动开机输出。</w:t>
      </w:r>
    </w:p>
    <w:p>
      <w:pPr>
        <w:spacing w:line="360" w:lineRule="auto"/>
        <w:ind w:firstLine="480"/>
        <w:rPr>
          <w:rFonts w:ascii="宋体" w:hAnsi="宋体" w:cs="宋体"/>
          <w:sz w:val="24"/>
          <w:highlight w:val="none"/>
        </w:rPr>
      </w:pPr>
      <w:r>
        <w:rPr>
          <w:rFonts w:hint="eastAsia" w:ascii="宋体" w:hAnsi="宋体" w:cs="宋体"/>
          <w:sz w:val="24"/>
          <w:highlight w:val="none"/>
        </w:rPr>
        <w:t>·具有蜂鸣器提示、报警功能。</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27" w:name="_Toc38389305"/>
      <w:r>
        <w:rPr>
          <w:rFonts w:hint="eastAsia" w:cs="宋体"/>
          <w:sz w:val="24"/>
          <w:szCs w:val="24"/>
          <w:highlight w:val="none"/>
        </w:rPr>
        <w:t>2.2.12 工业以太网交换机技术参数</w:t>
      </w:r>
      <w:bookmarkEnd w:id="127"/>
    </w:p>
    <w:p>
      <w:pPr>
        <w:pStyle w:val="73"/>
        <w:numPr>
          <w:ilvl w:val="0"/>
          <w:numId w:val="18"/>
        </w:numPr>
        <w:spacing w:line="360" w:lineRule="auto"/>
        <w:ind w:left="981" w:firstLineChars="0"/>
        <w:rPr>
          <w:rFonts w:ascii="宋体" w:hAnsi="宋体" w:cs="宋体"/>
          <w:sz w:val="24"/>
          <w:szCs w:val="24"/>
          <w:highlight w:val="none"/>
        </w:rPr>
      </w:pPr>
      <w:r>
        <w:rPr>
          <w:rFonts w:hint="eastAsia" w:ascii="宋体" w:hAnsi="宋体" w:cs="宋体"/>
          <w:sz w:val="24"/>
          <w:szCs w:val="24"/>
          <w:highlight w:val="none"/>
        </w:rPr>
        <w:t>工作温度：-15℃-70℃，无有冷凝；</w:t>
      </w:r>
    </w:p>
    <w:p>
      <w:pPr>
        <w:pStyle w:val="73"/>
        <w:numPr>
          <w:ilvl w:val="0"/>
          <w:numId w:val="18"/>
        </w:numPr>
        <w:spacing w:line="360" w:lineRule="auto"/>
        <w:ind w:left="981" w:firstLineChars="0"/>
        <w:rPr>
          <w:rFonts w:ascii="宋体" w:hAnsi="宋体" w:cs="宋体"/>
          <w:sz w:val="24"/>
          <w:szCs w:val="24"/>
          <w:highlight w:val="none"/>
        </w:rPr>
      </w:pPr>
      <w:r>
        <w:rPr>
          <w:rFonts w:hint="eastAsia" w:ascii="宋体" w:hAnsi="宋体" w:cs="宋体"/>
          <w:sz w:val="24"/>
          <w:szCs w:val="24"/>
          <w:highlight w:val="none"/>
        </w:rPr>
        <w:t>工作湿度：&gt;85%</w:t>
      </w:r>
    </w:p>
    <w:p>
      <w:pPr>
        <w:pStyle w:val="73"/>
        <w:numPr>
          <w:ilvl w:val="0"/>
          <w:numId w:val="18"/>
        </w:numPr>
        <w:spacing w:line="360" w:lineRule="auto"/>
        <w:ind w:left="981" w:firstLineChars="0"/>
        <w:rPr>
          <w:rFonts w:ascii="宋体" w:hAnsi="宋体" w:cs="宋体"/>
          <w:sz w:val="24"/>
          <w:szCs w:val="24"/>
          <w:highlight w:val="none"/>
        </w:rPr>
      </w:pPr>
      <w:r>
        <w:rPr>
          <w:rFonts w:hint="eastAsia" w:ascii="宋体" w:hAnsi="宋体" w:cs="宋体"/>
          <w:sz w:val="24"/>
          <w:szCs w:val="24"/>
          <w:highlight w:val="none"/>
        </w:rPr>
        <w:t>支持Turbo Ring，Turbo Chain（自愈时间＜20ms），RSTP/STP和MSTP网络冗余；网管型；</w:t>
      </w:r>
    </w:p>
    <w:p>
      <w:pPr>
        <w:pStyle w:val="73"/>
        <w:numPr>
          <w:ilvl w:val="0"/>
          <w:numId w:val="18"/>
        </w:numPr>
        <w:spacing w:line="360" w:lineRule="auto"/>
        <w:ind w:left="981" w:firstLineChars="0"/>
        <w:rPr>
          <w:rFonts w:ascii="宋体" w:hAnsi="宋体" w:cs="宋体"/>
          <w:sz w:val="24"/>
          <w:szCs w:val="24"/>
          <w:highlight w:val="none"/>
        </w:rPr>
      </w:pPr>
      <w:r>
        <w:rPr>
          <w:rFonts w:hint="eastAsia" w:ascii="宋体" w:hAnsi="宋体" w:cs="宋体"/>
          <w:sz w:val="24"/>
          <w:szCs w:val="24"/>
          <w:highlight w:val="none"/>
        </w:rPr>
        <w:t>平均无故障时间：&gt;300000小时；</w:t>
      </w:r>
    </w:p>
    <w:p>
      <w:pPr>
        <w:pStyle w:val="73"/>
        <w:numPr>
          <w:ilvl w:val="0"/>
          <w:numId w:val="18"/>
        </w:numPr>
        <w:spacing w:line="360" w:lineRule="auto"/>
        <w:ind w:left="981" w:firstLineChars="0"/>
        <w:rPr>
          <w:rFonts w:ascii="宋体" w:hAnsi="宋体" w:cs="宋体"/>
          <w:sz w:val="24"/>
          <w:szCs w:val="24"/>
          <w:highlight w:val="none"/>
        </w:rPr>
      </w:pPr>
      <w:r>
        <w:rPr>
          <w:rFonts w:hint="eastAsia" w:ascii="宋体" w:hAnsi="宋体" w:cs="宋体"/>
          <w:sz w:val="24"/>
          <w:szCs w:val="24"/>
          <w:highlight w:val="none"/>
        </w:rPr>
        <w:t>工作电压：12-45VDC，支持双冗余电源输入；</w:t>
      </w:r>
    </w:p>
    <w:p>
      <w:pPr>
        <w:pStyle w:val="73"/>
        <w:numPr>
          <w:ilvl w:val="0"/>
          <w:numId w:val="18"/>
        </w:numPr>
        <w:spacing w:line="360" w:lineRule="auto"/>
        <w:ind w:left="981" w:firstLineChars="0"/>
        <w:rPr>
          <w:rFonts w:ascii="宋体" w:hAnsi="宋体" w:cs="宋体"/>
          <w:sz w:val="24"/>
          <w:szCs w:val="24"/>
          <w:highlight w:val="none"/>
        </w:rPr>
      </w:pPr>
      <w:r>
        <w:rPr>
          <w:rFonts w:hint="eastAsia" w:ascii="宋体" w:hAnsi="宋体" w:cs="宋体"/>
          <w:sz w:val="24"/>
          <w:szCs w:val="24"/>
          <w:highlight w:val="none"/>
        </w:rPr>
        <w:t>提供过载保护及故障输出继电器接点；</w:t>
      </w:r>
    </w:p>
    <w:p>
      <w:pPr>
        <w:pStyle w:val="73"/>
        <w:numPr>
          <w:ilvl w:val="0"/>
          <w:numId w:val="18"/>
        </w:numPr>
        <w:spacing w:line="360" w:lineRule="auto"/>
        <w:ind w:left="981" w:firstLineChars="0"/>
        <w:rPr>
          <w:rFonts w:ascii="宋体" w:hAnsi="宋体" w:cs="宋体"/>
          <w:sz w:val="24"/>
          <w:szCs w:val="24"/>
          <w:highlight w:val="none"/>
        </w:rPr>
      </w:pPr>
      <w:r>
        <w:rPr>
          <w:rFonts w:hint="eastAsia" w:ascii="宋体" w:hAnsi="宋体" w:cs="宋体"/>
          <w:sz w:val="24"/>
          <w:szCs w:val="24"/>
          <w:highlight w:val="none"/>
        </w:rPr>
        <w:t>安装方式：导轨式安装；</w:t>
      </w:r>
    </w:p>
    <w:p>
      <w:pPr>
        <w:pStyle w:val="73"/>
        <w:numPr>
          <w:ilvl w:val="0"/>
          <w:numId w:val="18"/>
        </w:numPr>
        <w:spacing w:line="360" w:lineRule="auto"/>
        <w:ind w:left="981" w:firstLineChars="0"/>
        <w:rPr>
          <w:rFonts w:ascii="宋体" w:hAnsi="宋体" w:cs="宋体"/>
          <w:sz w:val="24"/>
          <w:szCs w:val="24"/>
          <w:highlight w:val="none"/>
        </w:rPr>
      </w:pPr>
      <w:r>
        <w:rPr>
          <w:rFonts w:hint="eastAsia" w:ascii="宋体" w:hAnsi="宋体" w:cs="宋体"/>
          <w:sz w:val="24"/>
          <w:szCs w:val="24"/>
          <w:highlight w:val="none"/>
        </w:rPr>
        <w:t>RJ45端口：&gt;=4个，10/100M自适应；；</w:t>
      </w:r>
    </w:p>
    <w:p>
      <w:pPr>
        <w:pStyle w:val="73"/>
        <w:numPr>
          <w:ilvl w:val="0"/>
          <w:numId w:val="18"/>
        </w:numPr>
        <w:spacing w:line="360" w:lineRule="auto"/>
        <w:ind w:left="981" w:firstLineChars="0"/>
        <w:rPr>
          <w:rFonts w:ascii="宋体" w:hAnsi="宋体" w:cs="宋体"/>
          <w:sz w:val="24"/>
          <w:szCs w:val="24"/>
          <w:highlight w:val="none"/>
        </w:rPr>
      </w:pPr>
      <w:r>
        <w:rPr>
          <w:rFonts w:hint="eastAsia" w:ascii="宋体" w:hAnsi="宋体" w:cs="宋体"/>
          <w:sz w:val="24"/>
          <w:szCs w:val="24"/>
          <w:highlight w:val="none"/>
        </w:rPr>
        <w:t>光纤接口：多模、2个100BaseFX口（SC/ST接口）。</w:t>
      </w:r>
    </w:p>
    <w:p>
      <w:pPr>
        <w:pStyle w:val="3"/>
        <w:spacing w:line="360" w:lineRule="auto"/>
        <w:rPr>
          <w:rFonts w:ascii="宋体" w:hAnsi="宋体" w:cs="宋体"/>
          <w:highlight w:val="none"/>
        </w:rPr>
      </w:pP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2.2.13 变频器/柜技术参数</w:t>
      </w:r>
    </w:p>
    <w:p>
      <w:pPr>
        <w:spacing w:line="360" w:lineRule="auto"/>
        <w:rPr>
          <w:rFonts w:ascii="宋体" w:hAnsi="宋体" w:cs="宋体"/>
          <w:b/>
          <w:sz w:val="24"/>
          <w:highlight w:val="none"/>
        </w:rPr>
      </w:pPr>
      <w:bookmarkStart w:id="128" w:name="_Toc141324038"/>
      <w:bookmarkStart w:id="129" w:name="_Toc349208540"/>
      <w:bookmarkStart w:id="130" w:name="_Toc41195204"/>
      <w:bookmarkStart w:id="131" w:name="_Toc359979514"/>
      <w:bookmarkStart w:id="132" w:name="_Toc41195208"/>
      <w:bookmarkStart w:id="133" w:name="_Toc28754050"/>
      <w:bookmarkStart w:id="134" w:name="_Toc28753891"/>
      <w:bookmarkStart w:id="135" w:name="_Toc377081159"/>
      <w:bookmarkStart w:id="136" w:name="_Toc457036317"/>
      <w:bookmarkStart w:id="137" w:name="_Toc373917958"/>
      <w:bookmarkStart w:id="138" w:name="_Toc377081103"/>
      <w:bookmarkStart w:id="139" w:name="_Toc37840540"/>
      <w:bookmarkStart w:id="140" w:name="_Toc13447257"/>
      <w:bookmarkStart w:id="141" w:name="_Toc360849094"/>
      <w:bookmarkStart w:id="142" w:name="_Toc377046214"/>
      <w:r>
        <w:rPr>
          <w:rFonts w:hint="eastAsia" w:ascii="宋体" w:hAnsi="宋体" w:cs="宋体"/>
          <w:b/>
          <w:bCs/>
          <w:color w:val="000000"/>
          <w:sz w:val="24"/>
          <w:highlight w:val="none"/>
        </w:rPr>
        <w:t>2.2.13.1变频器</w:t>
      </w:r>
      <w:r>
        <w:rPr>
          <w:rFonts w:hint="eastAsia" w:ascii="宋体" w:hAnsi="宋体" w:cs="宋体"/>
          <w:b/>
          <w:sz w:val="24"/>
          <w:highlight w:val="none"/>
        </w:rPr>
        <w:t>技术性能要求</w:t>
      </w:r>
      <w:bookmarkEnd w:id="128"/>
      <w:bookmarkEnd w:id="129"/>
    </w:p>
    <w:p>
      <w:pPr>
        <w:pStyle w:val="19"/>
        <w:spacing w:line="360" w:lineRule="auto"/>
        <w:rPr>
          <w:rFonts w:hAnsi="宋体" w:cs="宋体"/>
          <w:color w:val="000000"/>
          <w:sz w:val="24"/>
          <w:szCs w:val="24"/>
          <w:highlight w:val="none"/>
        </w:rPr>
      </w:pPr>
      <w:r>
        <w:rPr>
          <w:rFonts w:hint="eastAsia" w:hAnsi="宋体" w:cs="宋体"/>
          <w:sz w:val="24"/>
          <w:szCs w:val="24"/>
          <w:highlight w:val="none"/>
        </w:rPr>
        <w:t xml:space="preserve">     </w:t>
      </w:r>
    </w:p>
    <w:p>
      <w:pPr>
        <w:pStyle w:val="19"/>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进线电源：3相380V；频率：50Hz；</w:t>
      </w:r>
    </w:p>
    <w:p>
      <w:pPr>
        <w:pStyle w:val="19"/>
        <w:spacing w:line="360" w:lineRule="auto"/>
        <w:ind w:firstLine="484" w:firstLineChars="202"/>
        <w:rPr>
          <w:rFonts w:hAnsi="宋体" w:cs="宋体"/>
          <w:color w:val="000000" w:themeColor="text1"/>
          <w:sz w:val="24"/>
          <w:szCs w:val="24"/>
          <w:highlight w:val="none"/>
          <w14:textFill>
            <w14:solidFill>
              <w14:schemeClr w14:val="tx1"/>
            </w14:solidFill>
          </w14:textFill>
        </w:rPr>
      </w:pPr>
      <w:r>
        <w:rPr>
          <w:rFonts w:hint="eastAsia" w:hAnsi="宋体" w:cs="宋体"/>
          <w:color w:val="000000"/>
          <w:sz w:val="24"/>
          <w:szCs w:val="24"/>
          <w:highlight w:val="none"/>
        </w:rPr>
        <w:t>控制</w:t>
      </w:r>
      <w:r>
        <w:rPr>
          <w:rFonts w:hint="eastAsia" w:hAnsi="宋体" w:cs="宋体"/>
          <w:sz w:val="24"/>
          <w:szCs w:val="24"/>
          <w:highlight w:val="none"/>
        </w:rPr>
        <w:t>电源</w:t>
      </w:r>
      <w:r>
        <w:rPr>
          <w:rFonts w:hint="eastAsia" w:hAnsi="宋体" w:cs="宋体"/>
          <w:color w:val="000000" w:themeColor="text1"/>
          <w:sz w:val="24"/>
          <w:szCs w:val="24"/>
          <w:highlight w:val="none"/>
          <w14:textFill>
            <w14:solidFill>
              <w14:schemeClr w14:val="tx1"/>
            </w14:solidFill>
          </w14:textFill>
        </w:rPr>
        <w:t xml:space="preserve">： </w:t>
      </w:r>
    </w:p>
    <w:p>
      <w:pPr>
        <w:pStyle w:val="19"/>
        <w:spacing w:line="360" w:lineRule="auto"/>
        <w:ind w:firstLine="484" w:firstLineChars="202"/>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★变频柜采用西门子、A</w:t>
      </w:r>
      <w:r>
        <w:rPr>
          <w:rFonts w:hAnsi="宋体" w:cs="宋体"/>
          <w:color w:val="000000" w:themeColor="text1"/>
          <w:sz w:val="24"/>
          <w:szCs w:val="24"/>
          <w:highlight w:val="none"/>
          <w14:textFill>
            <w14:solidFill>
              <w14:schemeClr w14:val="tx1"/>
            </w14:solidFill>
          </w14:textFill>
        </w:rPr>
        <w:t>BB</w:t>
      </w:r>
      <w:r>
        <w:rPr>
          <w:rFonts w:hint="eastAsia" w:hAnsi="宋体" w:cs="宋体"/>
          <w:color w:val="000000" w:themeColor="text1"/>
          <w:sz w:val="24"/>
          <w:szCs w:val="24"/>
          <w:highlight w:val="none"/>
          <w14:textFill>
            <w14:solidFill>
              <w14:schemeClr w14:val="tx1"/>
            </w14:solidFill>
          </w14:textFill>
        </w:rPr>
        <w:t>、施耐德的生产厂家原装柜式，是应用于水处理及工业领域的成熟应用型系列产品。</w:t>
      </w:r>
    </w:p>
    <w:p>
      <w:pPr>
        <w:pStyle w:val="19"/>
        <w:spacing w:line="360" w:lineRule="auto"/>
        <w:ind w:firstLine="484" w:firstLineChars="202"/>
        <w:rPr>
          <w:rFonts w:hAnsi="宋体" w:cs="宋体"/>
          <w:sz w:val="24"/>
          <w:szCs w:val="24"/>
          <w:highlight w:val="none"/>
        </w:rPr>
      </w:pPr>
      <w:r>
        <w:rPr>
          <w:rFonts w:hint="eastAsia" w:hAnsi="宋体" w:cs="宋体"/>
          <w:color w:val="000000" w:themeColor="text1"/>
          <w:sz w:val="24"/>
          <w:szCs w:val="24"/>
          <w:highlight w:val="none"/>
          <w14:textFill>
            <w14:solidFill>
              <w14:schemeClr w14:val="tx1"/>
            </w14:solidFill>
          </w14:textFill>
        </w:rPr>
        <w:t>变频器必须为西门子、A</w:t>
      </w:r>
      <w:r>
        <w:rPr>
          <w:rFonts w:hAnsi="宋体" w:cs="宋体"/>
          <w:color w:val="000000" w:themeColor="text1"/>
          <w:sz w:val="24"/>
          <w:szCs w:val="24"/>
          <w:highlight w:val="none"/>
          <w14:textFill>
            <w14:solidFill>
              <w14:schemeClr w14:val="tx1"/>
            </w14:solidFill>
          </w14:textFill>
        </w:rPr>
        <w:t>BB</w:t>
      </w:r>
      <w:r>
        <w:rPr>
          <w:rFonts w:hint="eastAsia" w:hAnsi="宋体" w:cs="宋体"/>
          <w:color w:val="000000" w:themeColor="text1"/>
          <w:sz w:val="24"/>
          <w:szCs w:val="24"/>
          <w:highlight w:val="none"/>
          <w14:textFill>
            <w14:solidFill>
              <w14:schemeClr w14:val="tx1"/>
            </w14:solidFill>
          </w14:textFill>
        </w:rPr>
        <w:t>、施耐德公司近几</w:t>
      </w:r>
      <w:r>
        <w:rPr>
          <w:rFonts w:hint="eastAsia" w:hAnsi="宋体" w:cs="宋体"/>
          <w:color w:val="000000" w:themeColor="text1"/>
          <w:sz w:val="24"/>
          <w:szCs w:val="24"/>
          <w:highlight w:val="none"/>
          <w14:textFill>
            <w14:solidFill>
              <w14:schemeClr w14:val="tx1"/>
            </w14:solidFill>
          </w14:textFill>
        </w:rPr>
        <w:t>年推出具有多种控制模式的同一系列新产品，共享相同的架构和用户界面。必须是采用DTC控制技术型变频器，动态转矩</w:t>
      </w:r>
      <w:r>
        <w:rPr>
          <w:rFonts w:hint="eastAsia" w:hAnsi="宋体" w:cs="宋体"/>
          <w:sz w:val="24"/>
          <w:szCs w:val="24"/>
          <w:highlight w:val="none"/>
        </w:rPr>
        <w:t>阶跃响应时间在开环应用时小于等于5ms。性能不能低于图纸中同档的进口产品。</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考虑到电网电压波动较大，变频器的供电电压范围应允许在380－10％～480V＋10％间正常运行。在380V电网电压条件下，变频器允许电压跌落超过30％起动工作。</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变频器能够控制各种类型的电机， 包括感应电机、 永磁电机、 同步磁阻电机等。对所驱动的电机不应有特殊要求。</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变频器力矩和速度能力：在第1条中规定的最高温度条件下以5分钟为工作周期。4分钟按变频器额定电流工作，要求允许变频器大于150％连续过力矩工作1分钟或允许大于200％过力矩2s的能力。 要求变频器应在0速时输出100%连续力矩。</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控制显示面板：变频器必须配置本机操作面板，而且操作面板需具有多行中文液晶显示，可以同时监视变频器状态、电机电流、电机电压、电机转速、输出频率、速度给定、电机力矩和运行过程量，故障显示避免用代码，用户也可根据需要进行编程、操作、复制、热插拔等功能。操作面板安装在柜门上，。</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变频器可以设置保护口令，以防止非法修改参数而造成的变频器损坏。变频器可以灵活地实现本地和远程控制，切换时不得导致系统的失控和振荡。变频器应具有冷却风机延时关闭功能，来保护变频器良好的散热功能以及延长功率器件的使用寿命。</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变频器要有较强的过载能力和自我保护功能，变频器应具有但不限于以下保护功能：主电源过压，主电源欠压，接地故障，短路，电动机过热，变频器过温，PID反馈信号值低于最小值或高于最大值，冷却风机故障等保护功能。</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远程监控解决方案，可减少了维护人员现场检查的次数， 远程监控方案应为通过浏览器进行的远程监控</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变频器必须具有输入输出缺相、过流、过压、4～20mA信号丢失、电机过热、变频器过热、限制电机尖峰电压和IGBT诊断等完善的保护和诊断能力。</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变频器需通过ISO9001质量认证体系。符合IEC、EN、NEC相关标准，满足工业环境对EMC辐射、传导、射频发射的要求，满足EMC产品标准EN61800-3（1996+）。变频器中必须内置原厂原装交流直流电抗器和EMC滤波器，降低进线电源的谐波和变频器的电磁辐射。</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变频器应能满足变频器至电机最长为250米距离的应用。</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变频器要具有下列信号端子：有6路数字输入点；1路数字起动互锁输入；2路可编程数字输入/ 输出；2路模拟量可编程输入接口，可通过控制单元上的跳线独立地设置为电压（0/2…10 V 或- 10…10 V）或电流（0/4…20 mA）输入，每个输入均可进行滤波、取反和比例设定；2路可自由定义的模拟量输出接口，输出各种物理量；变频器提供远程通信输出接口，作为准备，运行状态，故障，停止等信号输出，变频器IO端子应独立于模块，便于自由安装并能方便操作。</w:t>
      </w:r>
    </w:p>
    <w:p>
      <w:pPr>
        <w:pStyle w:val="19"/>
        <w:spacing w:line="360" w:lineRule="auto"/>
        <w:ind w:firstLine="484" w:firstLineChars="202"/>
        <w:rPr>
          <w:rFonts w:hAnsi="宋体" w:cs="宋体"/>
          <w:color w:val="000000" w:themeColor="text1"/>
          <w:sz w:val="24"/>
          <w:szCs w:val="24"/>
          <w:highlight w:val="none"/>
          <w14:textFill>
            <w14:solidFill>
              <w14:schemeClr w14:val="tx1"/>
            </w14:solidFill>
          </w14:textFill>
        </w:rPr>
      </w:pPr>
      <w:r>
        <w:rPr>
          <w:rFonts w:hint="eastAsia" w:hAnsi="宋体" w:cs="宋体"/>
          <w:sz w:val="24"/>
          <w:szCs w:val="24"/>
          <w:highlight w:val="none"/>
        </w:rPr>
        <w:t>★</w:t>
      </w:r>
      <w:r>
        <w:rPr>
          <w:rFonts w:hint="eastAsia" w:hAnsi="宋体" w:cs="宋体"/>
          <w:color w:val="000000" w:themeColor="text1"/>
          <w:sz w:val="24"/>
          <w:szCs w:val="24"/>
          <w:highlight w:val="none"/>
          <w14:textFill>
            <w14:solidFill>
              <w14:schemeClr w14:val="tx1"/>
            </w14:solidFill>
          </w14:textFill>
        </w:rPr>
        <w:t>投标方应为变频器生产厂商在福建省内的授权分销商或授权售后服务站，并提供相关证明材料。</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变频器应具有远程监控解决方案，可减少了维护人员现场检查的次数， 远程监控方案应为通过浏览器进行的远程监控。</w:t>
      </w:r>
    </w:p>
    <w:p>
      <w:pPr>
        <w:pStyle w:val="19"/>
        <w:spacing w:line="360" w:lineRule="auto"/>
        <w:ind w:firstLine="484" w:firstLineChars="202"/>
        <w:rPr>
          <w:rFonts w:hAnsi="宋体" w:cs="宋体"/>
          <w:sz w:val="24"/>
          <w:szCs w:val="24"/>
          <w:highlight w:val="none"/>
        </w:rPr>
      </w:pPr>
      <w:r>
        <w:rPr>
          <w:rFonts w:hint="eastAsia" w:hAnsi="宋体" w:cs="宋体"/>
          <w:sz w:val="24"/>
          <w:szCs w:val="24"/>
          <w:highlight w:val="none"/>
        </w:rPr>
        <w:t>变频器应具有安全转矩取消功能，该功能应满足以下标准要求IEC 61508 ed2: SIL 3, IEC 61511: SIL 3，IEC 62061: SIL CL 3。</w:t>
      </w:r>
    </w:p>
    <w:p>
      <w:pPr>
        <w:pStyle w:val="19"/>
        <w:spacing w:line="360" w:lineRule="auto"/>
        <w:ind w:firstLine="484" w:firstLineChars="202"/>
        <w:rPr>
          <w:rFonts w:hAnsi="宋体" w:cs="宋体"/>
          <w:sz w:val="24"/>
          <w:szCs w:val="24"/>
          <w:highlight w:val="none"/>
        </w:rPr>
      </w:pPr>
    </w:p>
    <w:p>
      <w:pPr>
        <w:spacing w:line="360" w:lineRule="auto"/>
        <w:rPr>
          <w:rFonts w:ascii="宋体" w:hAnsi="宋体" w:cs="宋体"/>
          <w:b/>
          <w:bCs/>
          <w:color w:val="000000"/>
          <w:sz w:val="24"/>
          <w:highlight w:val="none"/>
        </w:rPr>
      </w:pPr>
      <w:r>
        <w:rPr>
          <w:rFonts w:hint="eastAsia" w:ascii="宋体" w:hAnsi="宋体" w:cs="宋体"/>
          <w:b/>
          <w:bCs/>
          <w:color w:val="000000"/>
          <w:sz w:val="24"/>
          <w:highlight w:val="none"/>
        </w:rPr>
        <w:t xml:space="preserve">2.2.13.2 变频器柜体技术要求 </w:t>
      </w:r>
    </w:p>
    <w:p>
      <w:pPr>
        <w:pStyle w:val="19"/>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sz w:val="24"/>
          <w:szCs w:val="24"/>
          <w:highlight w:val="none"/>
        </w:rPr>
        <w:t>变频器柜体</w:t>
      </w:r>
      <w:r>
        <w:rPr>
          <w:rFonts w:hint="eastAsia" w:hAnsi="宋体" w:cs="宋体"/>
          <w:color w:val="000000" w:themeColor="text1"/>
          <w:sz w:val="24"/>
          <w:szCs w:val="24"/>
          <w:highlight w:val="none"/>
          <w14:textFill>
            <w14:solidFill>
              <w14:schemeClr w14:val="tx1"/>
            </w14:solidFill>
          </w14:textFill>
        </w:rPr>
        <w:t>并列安装，柜深：698mm；柜高：2315 mm；柜宽：830（</w:t>
      </w:r>
      <w:r>
        <w:rPr>
          <w:rStyle w:val="38"/>
          <w:rFonts w:hint="eastAsia" w:hAnsi="宋体" w:cs="宋体"/>
          <w:b w:val="0"/>
          <w:bCs w:val="0"/>
          <w:color w:val="000000" w:themeColor="text1"/>
          <w:sz w:val="24"/>
          <w:szCs w:val="24"/>
          <w:highlight w:val="none"/>
          <w14:textFill>
            <w14:solidFill>
              <w14:schemeClr w14:val="tx1"/>
            </w14:solidFill>
          </w14:textFill>
        </w:rPr>
        <w:t>尺寸允许正负偏差20MM</w:t>
      </w:r>
      <w:r>
        <w:rPr>
          <w:rFonts w:hint="eastAsia" w:hAnsi="宋体" w:cs="宋体"/>
          <w:color w:val="000000" w:themeColor="text1"/>
          <w:sz w:val="24"/>
          <w:szCs w:val="24"/>
          <w:highlight w:val="none"/>
          <w14:textFill>
            <w14:solidFill>
              <w14:schemeClr w14:val="tx1"/>
            </w14:solidFill>
          </w14:textFill>
        </w:rPr>
        <w:t>）</w:t>
      </w:r>
    </w:p>
    <w:p>
      <w:pPr>
        <w:pStyle w:val="19"/>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柜体采用固定式，防护等级IP4X或以上。 柜体的抗震能力应高于当地地震烈度一级。</w:t>
      </w:r>
    </w:p>
    <w:p>
      <w:pPr>
        <w:pStyle w:val="19"/>
        <w:spacing w:line="360" w:lineRule="auto"/>
        <w:ind w:firstLine="480" w:firstLineChars="200"/>
        <w:rPr>
          <w:rFonts w:hAnsi="宋体" w:cs="宋体"/>
          <w:sz w:val="24"/>
          <w:szCs w:val="24"/>
          <w:highlight w:val="none"/>
        </w:rPr>
      </w:pPr>
      <w:r>
        <w:rPr>
          <w:rFonts w:hint="eastAsia" w:hAnsi="宋体" w:cs="宋体"/>
          <w:sz w:val="24"/>
          <w:szCs w:val="24"/>
          <w:highlight w:val="none"/>
        </w:rPr>
        <w:t>与设备如开关柜、变压器等连接处，正常运行时不应产生过热。</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开关柜应开设通风孔，且通风孔安装百叶保护。通风孔的设计和设置应使得当断路器在正常运行时或在短路情况下没有电弧或可熔金属喷出。</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低压开关柜应设置活动挡板，以防止断路器或功能单元抽出后接触到带电母线或其它带电连接。每个隔室应有足够空间便于检修维护。</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低压开关柜内的电器元件、裸露的带电导体和端子等的电气距离和爬电距离应符合有关标准，同时应适合使用的环境条件。</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开关柜原则上在柜底进出线，具有足够的空间允许动力及控制电缆直接进入的端子排、动力和控制电缆。</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所有螺栓连接型主母线和分支母线接头均应搪锡，并在搭接部位压花, 以保证接触面。所有螺栓连接的主母线接头和分支母线接头均要求镀锡,并且每个连接头应不少于两个镀锌螺栓，螺栓连接牢靠紧密，以便母线温度在从标准额定环境温度至额定满负荷温度的范围内，螺栓孔周围的初始接触压力基本保持不变。</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中性母线和主母线一样完全绝缘，其额定电流应为主母线的50％，并且中性母线应分别用两根连接片与低压动力中心的接地母线连接</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保护母线（PE）安装在柜下部，并应该可靠接地。</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中性母线、接地母线截面按有关国标选择并符合设计要求。</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每个螺栓接头和搭接头应不少于两个镀锌螺栓, 每个分支接头按需要有一个及以上的螺栓。</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铜接地母线延伸至整段结构, 并用螺栓连接在每一面开关柜的框架上。</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在每个接地母线的端头提供L型压接型端子, 供需方连接接地线用。</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柜内主要配件：接触器、热继电器、刀熔开关及负荷开关等均应选用同品牌优质产品，考虑极限短路分断能力不低于50KA。</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变频器柜应充分考虑使用环境要求，散热必须可靠，须配专用的通风组件以满足散热要求（见图纸）。柜内应设相应的防凝露措施，保证设备长期正常可靠运行。</w:t>
      </w:r>
    </w:p>
    <w:p>
      <w:pPr>
        <w:pStyle w:val="19"/>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变频器柜应具有维护拆装方便，防尘、防潮等可靠。</w:t>
      </w:r>
    </w:p>
    <w:p>
      <w:pPr>
        <w:pStyle w:val="19"/>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变频器柜前后开门，变频器安装在柜内，变频器上方留有足够的空间，便于电源电缆接线，变频器柜上应装有运行状态指示设备，变频器柜内相应设备及其安装接线应事先完成。</w:t>
      </w:r>
    </w:p>
    <w:p>
      <w:pPr>
        <w:pStyle w:val="19"/>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端子排额定电压不小于500V，额定电流不小于10A，具有隔板、标号线套和端子螺丝，每个端子排均应标以编号，端子排保证15%以上的预留端子。</w:t>
      </w:r>
    </w:p>
    <w:p>
      <w:pPr>
        <w:pStyle w:val="19"/>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柜体制造应符合相关国家及行业规范和标准。</w:t>
      </w:r>
    </w:p>
    <w:p>
      <w:pPr>
        <w:pStyle w:val="19"/>
        <w:spacing w:line="360" w:lineRule="auto"/>
        <w:ind w:firstLine="480" w:firstLineChars="200"/>
        <w:rPr>
          <w:rFonts w:hAnsi="宋体" w:cs="宋体"/>
          <w:color w:val="FF0000"/>
          <w:sz w:val="24"/>
          <w:szCs w:val="24"/>
          <w:highlight w:val="none"/>
        </w:rPr>
      </w:pPr>
      <w:r>
        <w:rPr>
          <w:rFonts w:hint="eastAsia" w:hAnsi="宋体" w:cs="宋体"/>
          <w:color w:val="000000"/>
          <w:sz w:val="24"/>
          <w:szCs w:val="24"/>
          <w:highlight w:val="none"/>
        </w:rPr>
        <w:t>柜体颜色为：</w:t>
      </w:r>
      <w:r>
        <w:rPr>
          <w:rFonts w:hint="eastAsia" w:hAnsi="宋体" w:cs="宋体"/>
          <w:sz w:val="24"/>
          <w:szCs w:val="24"/>
          <w:highlight w:val="none"/>
        </w:rPr>
        <w:t xml:space="preserve"> RAL7035 </w:t>
      </w:r>
    </w:p>
    <w:bookmarkEnd w:id="130"/>
    <w:bookmarkEnd w:id="131"/>
    <w:bookmarkEnd w:id="132"/>
    <w:bookmarkEnd w:id="133"/>
    <w:bookmarkEnd w:id="134"/>
    <w:bookmarkEnd w:id="135"/>
    <w:bookmarkEnd w:id="136"/>
    <w:bookmarkEnd w:id="137"/>
    <w:bookmarkEnd w:id="138"/>
    <w:bookmarkEnd w:id="139"/>
    <w:bookmarkEnd w:id="140"/>
    <w:bookmarkEnd w:id="141"/>
    <w:bookmarkEnd w:id="142"/>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2.2.14</w:t>
      </w:r>
      <w:bookmarkStart w:id="143" w:name="_Toc298167639"/>
      <w:r>
        <w:rPr>
          <w:rFonts w:hint="eastAsia" w:cs="宋体"/>
          <w:sz w:val="24"/>
          <w:szCs w:val="24"/>
          <w:highlight w:val="none"/>
        </w:rPr>
        <w:t>电缆</w:t>
      </w:r>
      <w:bookmarkEnd w:id="143"/>
      <w:r>
        <w:rPr>
          <w:rFonts w:hint="eastAsia" w:cs="宋体"/>
          <w:sz w:val="24"/>
          <w:szCs w:val="24"/>
          <w:highlight w:val="none"/>
        </w:rPr>
        <w:t>技术参数</w:t>
      </w:r>
    </w:p>
    <w:p>
      <w:pPr>
        <w:snapToGrid w:val="0"/>
        <w:spacing w:line="360" w:lineRule="auto"/>
        <w:ind w:firstLine="512" w:firstLineChars="200"/>
        <w:rPr>
          <w:rFonts w:ascii="宋体" w:hAnsi="宋体" w:cs="宋体"/>
          <w:spacing w:val="8"/>
          <w:sz w:val="24"/>
          <w:highlight w:val="none"/>
        </w:rPr>
      </w:pPr>
      <w:r>
        <w:rPr>
          <w:rFonts w:hint="eastAsia" w:ascii="宋体" w:hAnsi="宋体" w:cs="宋体"/>
          <w:spacing w:val="8"/>
          <w:sz w:val="24"/>
          <w:highlight w:val="none"/>
        </w:rPr>
        <w:t>在户内以及电缆构筑物中敷设的电缆采用铜芯交联聚乙烯绝缘聚氯乙烯护套电力电缆，户外直接埋地敷设的电缆采用铠装铜芯交联聚乙烯绝缘聚氯乙烯护套电力电缆。</w:t>
      </w:r>
    </w:p>
    <w:p>
      <w:pPr>
        <w:snapToGrid w:val="0"/>
        <w:spacing w:line="360" w:lineRule="auto"/>
        <w:ind w:firstLine="512" w:firstLineChars="200"/>
        <w:rPr>
          <w:rFonts w:ascii="宋体" w:hAnsi="宋体" w:cs="宋体"/>
          <w:spacing w:val="8"/>
          <w:sz w:val="24"/>
          <w:highlight w:val="none"/>
        </w:rPr>
      </w:pPr>
      <w:r>
        <w:rPr>
          <w:rFonts w:hint="eastAsia" w:ascii="宋体" w:hAnsi="宋体" w:cs="宋体"/>
          <w:spacing w:val="8"/>
          <w:sz w:val="24"/>
          <w:highlight w:val="none"/>
        </w:rPr>
        <w:t>电缆的各项电气参数应符合其使用条件下的要求，电缆性能应达到国标(GB)以及国际标准（IEC）的要求。</w:t>
      </w:r>
    </w:p>
    <w:p>
      <w:pPr>
        <w:snapToGrid w:val="0"/>
        <w:spacing w:line="360" w:lineRule="auto"/>
        <w:ind w:firstLine="512" w:firstLineChars="200"/>
        <w:rPr>
          <w:rFonts w:ascii="宋体" w:hAnsi="宋体" w:cs="宋体"/>
          <w:spacing w:val="8"/>
          <w:sz w:val="24"/>
          <w:highlight w:val="none"/>
        </w:rPr>
      </w:pPr>
      <w:r>
        <w:rPr>
          <w:rFonts w:hint="eastAsia" w:ascii="宋体" w:hAnsi="宋体" w:cs="宋体"/>
          <w:spacing w:val="8"/>
          <w:sz w:val="24"/>
          <w:highlight w:val="none"/>
        </w:rPr>
        <w:t>控制电缆的线芯应留有20%的备用量，但线芯总数不得少于4芯。</w:t>
      </w:r>
    </w:p>
    <w:p>
      <w:pPr>
        <w:snapToGrid w:val="0"/>
        <w:spacing w:line="360" w:lineRule="auto"/>
        <w:ind w:firstLine="512" w:firstLineChars="200"/>
        <w:rPr>
          <w:rFonts w:ascii="宋体" w:hAnsi="宋体" w:cs="宋体"/>
          <w:spacing w:val="8"/>
          <w:sz w:val="24"/>
          <w:highlight w:val="none"/>
        </w:rPr>
      </w:pPr>
      <w:r>
        <w:rPr>
          <w:rFonts w:hint="eastAsia" w:ascii="宋体" w:hAnsi="宋体" w:cs="宋体"/>
          <w:spacing w:val="8"/>
          <w:sz w:val="24"/>
          <w:highlight w:val="none"/>
        </w:rPr>
        <w:t>电压电流测量回路的控制电缆截面不得小于2.5mm</w:t>
      </w:r>
      <w:r>
        <w:rPr>
          <w:rFonts w:hint="eastAsia" w:ascii="宋体" w:hAnsi="宋体" w:cs="宋体"/>
          <w:spacing w:val="8"/>
          <w:sz w:val="24"/>
          <w:highlight w:val="none"/>
          <w:vertAlign w:val="superscript"/>
        </w:rPr>
        <w:t>2</w:t>
      </w:r>
      <w:r>
        <w:rPr>
          <w:rFonts w:hint="eastAsia" w:ascii="宋体" w:hAnsi="宋体" w:cs="宋体"/>
          <w:spacing w:val="8"/>
          <w:sz w:val="24"/>
          <w:highlight w:val="none"/>
        </w:rPr>
        <w:t>，其它控制回路的电缆不得小于1.5mm</w:t>
      </w:r>
      <w:r>
        <w:rPr>
          <w:rFonts w:hint="eastAsia" w:ascii="宋体" w:hAnsi="宋体" w:cs="宋体"/>
          <w:spacing w:val="8"/>
          <w:sz w:val="24"/>
          <w:highlight w:val="none"/>
          <w:vertAlign w:val="superscript"/>
        </w:rPr>
        <w:t>2</w:t>
      </w:r>
      <w:r>
        <w:rPr>
          <w:rFonts w:hint="eastAsia" w:ascii="宋体" w:hAnsi="宋体" w:cs="宋体"/>
          <w:spacing w:val="8"/>
          <w:sz w:val="24"/>
          <w:highlight w:val="none"/>
        </w:rPr>
        <w:t>。</w:t>
      </w:r>
    </w:p>
    <w:p>
      <w:pPr>
        <w:snapToGrid w:val="0"/>
        <w:spacing w:line="360" w:lineRule="auto"/>
        <w:ind w:firstLine="512" w:firstLineChars="200"/>
        <w:rPr>
          <w:rFonts w:ascii="宋体" w:hAnsi="宋体" w:cs="宋体"/>
          <w:spacing w:val="8"/>
          <w:sz w:val="24"/>
          <w:highlight w:val="none"/>
        </w:rPr>
      </w:pPr>
      <w:r>
        <w:rPr>
          <w:rFonts w:hint="eastAsia" w:ascii="宋体" w:hAnsi="宋体" w:cs="宋体"/>
          <w:spacing w:val="8"/>
          <w:sz w:val="24"/>
          <w:highlight w:val="none"/>
        </w:rPr>
        <w:t>阻燃电线电缆应符合国家标准GB／T18380.3的要求；耐火电线电缆应符合国家标准GB／T12666.6的要求</w:t>
      </w:r>
    </w:p>
    <w:p>
      <w:pPr>
        <w:snapToGrid w:val="0"/>
        <w:spacing w:line="360" w:lineRule="auto"/>
        <w:ind w:firstLine="512" w:firstLineChars="200"/>
        <w:rPr>
          <w:rFonts w:ascii="宋体" w:hAnsi="宋体" w:cs="宋体"/>
          <w:spacing w:val="8"/>
          <w:sz w:val="24"/>
          <w:highlight w:val="none"/>
        </w:rPr>
      </w:pPr>
      <w:r>
        <w:rPr>
          <w:rFonts w:hint="eastAsia" w:ascii="宋体" w:hAnsi="宋体" w:cs="宋体"/>
          <w:spacing w:val="8"/>
          <w:sz w:val="24"/>
          <w:highlight w:val="none"/>
        </w:rPr>
        <w:t>从电缆出厂日期至现场施工安装日期不应超过12个月。</w:t>
      </w:r>
    </w:p>
    <w:p>
      <w:pPr>
        <w:pStyle w:val="3"/>
        <w:spacing w:line="360" w:lineRule="auto"/>
        <w:rPr>
          <w:rFonts w:ascii="宋体" w:hAnsi="宋体" w:cs="宋体"/>
          <w:highlight w:val="none"/>
        </w:rPr>
      </w:pPr>
    </w:p>
    <w:p>
      <w:pPr>
        <w:pStyle w:val="7"/>
        <w:spacing w:line="360" w:lineRule="auto"/>
        <w:ind w:firstLine="723"/>
        <w:rPr>
          <w:rFonts w:ascii="宋体" w:hAnsi="宋体" w:cs="宋体"/>
          <w:sz w:val="24"/>
          <w:szCs w:val="24"/>
          <w:highlight w:val="none"/>
        </w:rPr>
      </w:pPr>
      <w:bookmarkStart w:id="144" w:name="_Toc40254124"/>
      <w:r>
        <w:rPr>
          <w:rFonts w:hint="eastAsia" w:ascii="宋体" w:hAnsi="宋体" w:cs="宋体"/>
          <w:sz w:val="24"/>
          <w:szCs w:val="24"/>
          <w:highlight w:val="none"/>
        </w:rPr>
        <w:t>3、单体工艺（取水泵房、加药消毒间、无阀滤池）</w:t>
      </w:r>
      <w:bookmarkEnd w:id="144"/>
    </w:p>
    <w:p>
      <w:pPr>
        <w:pStyle w:val="7"/>
        <w:spacing w:line="360" w:lineRule="auto"/>
        <w:rPr>
          <w:rStyle w:val="38"/>
          <w:rFonts w:ascii="宋体" w:hAnsi="宋体" w:cs="宋体"/>
          <w:b w:val="0"/>
          <w:bCs/>
          <w:sz w:val="24"/>
          <w:szCs w:val="24"/>
          <w:highlight w:val="none"/>
        </w:rPr>
      </w:pPr>
      <w:bookmarkStart w:id="145" w:name="_Toc40254125"/>
      <w:r>
        <w:rPr>
          <w:rStyle w:val="38"/>
          <w:rFonts w:hint="eastAsia" w:ascii="宋体" w:hAnsi="宋体" w:cs="宋体"/>
          <w:b w:val="0"/>
          <w:bCs/>
          <w:sz w:val="24"/>
          <w:szCs w:val="24"/>
          <w:highlight w:val="none"/>
        </w:rPr>
        <w:t>3.1阀类技术要求</w:t>
      </w:r>
      <w:bookmarkEnd w:id="145"/>
    </w:p>
    <w:p>
      <w:pPr>
        <w:spacing w:line="360" w:lineRule="auto"/>
        <w:ind w:firstLine="480" w:firstLineChars="200"/>
        <w:rPr>
          <w:rFonts w:ascii="宋体" w:hAnsi="宋体" w:cs="宋体"/>
          <w:sz w:val="24"/>
          <w:highlight w:val="none"/>
        </w:rPr>
      </w:pPr>
      <w:r>
        <w:rPr>
          <w:rFonts w:hint="eastAsia" w:ascii="宋体" w:hAnsi="宋体" w:cs="宋体"/>
          <w:sz w:val="24"/>
          <w:highlight w:val="none"/>
        </w:rPr>
        <w:t>提供的所有阀门应能适应其输送的液体及空气以及最大的工作压力和温度。</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3.1.1闸阀</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闸阀应为铸铁阀体的双法兰阀门，并用锰黄铜作密封面，填料函、轴、wufa螺母和轴衬均应采用有色金属制成。除非另有规定。闸阀应按中国标准GB12233-89或相当的国际标准制造。阀门应具有带外螺纹的升杆式轴，按顺时针方向转动为关闭。除小口径之外，采用暗杆式闸阀，必须经业主批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对于轴不接长的，用钥匙头操作的阀门，必须附带提供接杆式钥匙头，除非另有规定。</w:t>
      </w:r>
    </w:p>
    <w:p>
      <w:pPr>
        <w:spacing w:line="360" w:lineRule="auto"/>
        <w:rPr>
          <w:rFonts w:ascii="宋体" w:hAnsi="宋体" w:cs="宋体"/>
          <w:sz w:val="24"/>
          <w:highlight w:val="none"/>
        </w:rPr>
      </w:pPr>
      <w:r>
        <w:rPr>
          <w:rFonts w:hint="eastAsia" w:ascii="宋体" w:hAnsi="宋体" w:cs="宋体"/>
          <w:sz w:val="24"/>
          <w:highlight w:val="none"/>
        </w:rPr>
        <w:t>所有闸阀在最大的压差下，从关闭到开启的手轮操作力不得大于13公斤(“推－拉力”总共为26公斤)，如果需要的话，可提供齿轮箱减速。</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3.1.2止回阀</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止回阀应按中国标准GB12236-89或相当的国际标准制造，法兰和阀体由铸铁整体制成，并配有不锈钢的铰销或轴，基座面应由锡青铜制成，除非另有规定。</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3.1.3隔膜阀</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隔膜阀应是双法兰式的，并具有水平内底和铸铁阀体。轴、螺母、轴衬及装在轴上的球形止推面应是有色金属的。用于显示阀门开关的位置指示器应配置在醒目的地方。隔膜应选用适合该液体的材料制造。</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3.1.4蝶阀</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蝶阀应按中国标准GB/T12238-89或相当的国际标准制造，为铸铁阀体的双法兰或对夹式蝶阀，阀板有一可更换的密封座，轴承应采用批准的型式。阀板为刚性结构，成流线型，以使流体阻力为最小。</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3.1.5球阀</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球阀应按中国标准GB12237-89或相当的国际标准制造，直径大于50mm的阀门应为法兰联接，阀门应提供操作板手，当阀门关闭时，板手应与管线呈直角。</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3.1.6阀门气动启闭装置</w:t>
      </w:r>
    </w:p>
    <w:p>
      <w:pPr>
        <w:spacing w:line="360" w:lineRule="auto"/>
        <w:rPr>
          <w:rFonts w:ascii="宋体" w:hAnsi="宋体" w:cs="宋体"/>
          <w:sz w:val="24"/>
          <w:highlight w:val="none"/>
        </w:rPr>
      </w:pPr>
      <w:r>
        <w:rPr>
          <w:rFonts w:hint="eastAsia" w:ascii="宋体" w:hAnsi="宋体" w:cs="宋体"/>
          <w:sz w:val="24"/>
          <w:highlight w:val="none"/>
        </w:rPr>
        <w:t xml:space="preserve">    在每个行程的终端应在气缸活塞上保持一定压力，除非采用其他方式防止活塞滑移。</w:t>
      </w:r>
    </w:p>
    <w:p>
      <w:pPr>
        <w:spacing w:line="360" w:lineRule="auto"/>
        <w:ind w:firstLine="525"/>
        <w:rPr>
          <w:rFonts w:ascii="宋体" w:hAnsi="宋体" w:cs="宋体"/>
          <w:sz w:val="24"/>
          <w:highlight w:val="none"/>
        </w:rPr>
      </w:pPr>
      <w:r>
        <w:rPr>
          <w:rFonts w:hint="eastAsia" w:ascii="宋体" w:hAnsi="宋体" w:cs="宋体"/>
          <w:sz w:val="24"/>
          <w:highlight w:val="none"/>
        </w:rPr>
        <w:t>缸体应采用冷拨黄铜或离心铸造青铜，气缸头盖和尾盖应采用耐腐蚀的钢铁材料，气缸活塞应采用镀铬钢、经硬质氧化铝膜处理的铝或镀镉铸铁。</w:t>
      </w:r>
    </w:p>
    <w:p>
      <w:pPr>
        <w:spacing w:line="360" w:lineRule="auto"/>
        <w:rPr>
          <w:rFonts w:ascii="宋体" w:hAnsi="宋体" w:cs="宋体"/>
          <w:sz w:val="24"/>
          <w:highlight w:val="none"/>
        </w:rPr>
      </w:pPr>
      <w:r>
        <w:rPr>
          <w:rFonts w:hint="eastAsia" w:ascii="宋体" w:hAnsi="宋体" w:cs="宋体"/>
          <w:sz w:val="24"/>
          <w:highlight w:val="none"/>
        </w:rPr>
        <w:t xml:space="preserve">    气缸活塞杆表面镀上厚度约为0.012mm硬铬的不锈钢制成。活塞杆衬套应采用青铜，气缸应该有刮垢器，应配备不可调的磨损补偿式活塞杆密封装置，活塞杆密封、活塞杆刮垢器及活塞环应采用氯丁橡胶、丁腈橡胶或同样适用于气压场合和材料。</w:t>
      </w:r>
    </w:p>
    <w:p>
      <w:pPr>
        <w:spacing w:line="360" w:lineRule="auto"/>
        <w:rPr>
          <w:rFonts w:ascii="宋体" w:hAnsi="宋体" w:cs="宋体"/>
          <w:sz w:val="24"/>
          <w:highlight w:val="none"/>
        </w:rPr>
      </w:pPr>
      <w:r>
        <w:rPr>
          <w:rFonts w:hint="eastAsia" w:ascii="宋体" w:hAnsi="宋体" w:cs="宋体"/>
          <w:sz w:val="24"/>
          <w:highlight w:val="none"/>
        </w:rPr>
        <w:t xml:space="preserve">    气缸结构应按工作压力进行设计，安全系数至少取5，采用铸铁时，安全系数至少取10。</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3.1.7手动启闭机及辅件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手动启闭机应采用铸铁制造，并配有刻度指示器，支座高度从底部到手轮处不应小于850毫米，并钻孔固定在基础上，如果需要采用伞齿轮传动，应提供全密闭的油脂润滑的伞齿轮箱。</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a)  手轮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所有手轮均须用优质光洁的铸铁制成，配有圆形的轮圈，并有开启方向的指示标志。</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所有阀门应按手轮或板手逆时针向旋转来开启。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b)  连接轴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连接轴应由低碳钢经镀锌制成，除非另有规定。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连接轴的接长应采用刚性联轴节。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c)  轴导支架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轴导支架应由铸铁制成，在结构上应便于轴的装拆，并应固定在井壁上。支架之间的最大间距不应大于3000毫米，除非另有规定。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d)  钥匙头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用接杆操作的阀门，应配置操作阀门用的接杆，在杆上应带铸铁或钢制钥匙头。</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r>
        <w:rPr>
          <w:rFonts w:hint="eastAsia" w:cs="宋体"/>
          <w:sz w:val="24"/>
          <w:szCs w:val="24"/>
          <w:highlight w:val="none"/>
        </w:rPr>
        <w:t>3.1.8试验和检验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阀门的试验和检验应按照ZBJ16006-90或相当的国际标准，阀体水压试验的试验压力为规定的最大工作压力的1.5倍。当阀座试验压力等于最大工作压力时，渗漏率不得超过相应标准的极限值。除非另有规定。</w:t>
      </w:r>
    </w:p>
    <w:p>
      <w:pPr>
        <w:spacing w:line="360" w:lineRule="auto"/>
        <w:rPr>
          <w:rFonts w:ascii="宋体" w:hAnsi="宋体" w:cs="宋体"/>
          <w:sz w:val="24"/>
          <w:highlight w:val="none"/>
        </w:rPr>
      </w:pPr>
    </w:p>
    <w:p>
      <w:pPr>
        <w:pStyle w:val="7"/>
        <w:spacing w:line="360" w:lineRule="auto"/>
        <w:rPr>
          <w:rStyle w:val="38"/>
          <w:rFonts w:ascii="宋体" w:hAnsi="宋体" w:cs="宋体"/>
          <w:b w:val="0"/>
          <w:bCs/>
          <w:sz w:val="24"/>
          <w:szCs w:val="24"/>
          <w:highlight w:val="none"/>
        </w:rPr>
      </w:pPr>
      <w:bookmarkStart w:id="146" w:name="_Toc40254126"/>
      <w:r>
        <w:rPr>
          <w:rStyle w:val="38"/>
          <w:rFonts w:hint="eastAsia" w:ascii="宋体" w:hAnsi="宋体" w:cs="宋体"/>
          <w:b w:val="0"/>
          <w:bCs/>
          <w:sz w:val="24"/>
          <w:szCs w:val="24"/>
          <w:highlight w:val="none"/>
        </w:rPr>
        <w:t>3.2泵类技术要求</w:t>
      </w:r>
      <w:bookmarkEnd w:id="146"/>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47" w:name="_Toc298167575"/>
      <w:r>
        <w:rPr>
          <w:rFonts w:hint="eastAsia" w:cs="宋体"/>
          <w:sz w:val="24"/>
          <w:szCs w:val="24"/>
          <w:highlight w:val="none"/>
        </w:rPr>
        <w:t>3.2.1</w:t>
      </w:r>
      <w:r>
        <w:rPr>
          <w:rFonts w:hint="eastAsia" w:cs="宋体"/>
          <w:sz w:val="24"/>
          <w:szCs w:val="24"/>
          <w:highlight w:val="none"/>
        </w:rPr>
        <w:t>离心泵</w:t>
      </w:r>
      <w:bookmarkEnd w:id="147"/>
    </w:p>
    <w:p>
      <w:pPr>
        <w:spacing w:line="360" w:lineRule="auto"/>
        <w:ind w:firstLine="480" w:firstLineChars="200"/>
        <w:rPr>
          <w:rFonts w:ascii="宋体" w:hAnsi="宋体" w:cs="宋体"/>
          <w:sz w:val="24"/>
          <w:highlight w:val="none"/>
        </w:rPr>
      </w:pPr>
      <w:r>
        <w:rPr>
          <w:rFonts w:hint="eastAsia" w:ascii="宋体" w:hAnsi="宋体" w:cs="宋体"/>
          <w:sz w:val="24"/>
          <w:highlight w:val="none"/>
        </w:rPr>
        <w:t>离心泵应具有稳定的扬程/流程特性，并从最大关阀压头起连续下降。可能的话，泵的定位应使在整个操作曲线中均能获得正吸入条件，并应提交在整个操作范围内的净正吸入水头NPSHr曲线。如果没有业主的批准任何泵的设计转速不得超过1500r/min。每台泵的旋转部分均应用足够的轴承来支承，如果它们不是一整体装置，那么设计必须保证没有任何推力从泵轴传递到电机轴，且止推轴承和径向轴承组合，可以承受的反转速度为正向全转速的130%。F级绝缘。设计的填料函应是容易调整和更换充填材料的，对清水泵可采用机械密封，而对立式悬挂型泵只能采用在更换机械密封时不需要移动电机的机械密封型式，在轴承和填料处轴易磨损，应安装可更新的轴套。在运行间隙处，外壳和叶轮上应安装耐磨环和衬套。</w:t>
      </w:r>
    </w:p>
    <w:p>
      <w:pPr>
        <w:spacing w:line="360" w:lineRule="auto"/>
        <w:rPr>
          <w:rFonts w:ascii="宋体" w:hAnsi="宋体" w:cs="宋体"/>
          <w:sz w:val="24"/>
          <w:highlight w:val="none"/>
        </w:rPr>
      </w:pPr>
      <w:r>
        <w:rPr>
          <w:rFonts w:hint="eastAsia" w:ascii="宋体" w:hAnsi="宋体" w:cs="宋体"/>
          <w:sz w:val="24"/>
          <w:highlight w:val="none"/>
        </w:rPr>
        <w:t>在轴承和填料处应提供去除悬浮固体的水作冷却和润滑用水，并在辅助管道上安装空气释放阀和示流器。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每台泵应带有所有必需的辅助设备及附件以使设备完整并能工作。主要包括截止阀、止回阀、空气阀、冷却水排放管、填料函渗漏水排出管，通道平台及其他适当的构件。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在泵和电机之间的所有中间轴应提供适当的防护。轴的防护应是容易拆卸的，轴的防护装置如绞接盖以便检修轴接点轴承和填料函。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带水力平衡装置的卧式泵，联轴器应允许在负载条件下泵轴有轴向移位，通常泵与电机应安装在同一机座上。</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48" w:name="_Toc298167576"/>
      <w:r>
        <w:rPr>
          <w:rFonts w:hint="eastAsia" w:cs="宋体"/>
          <w:sz w:val="24"/>
          <w:szCs w:val="24"/>
          <w:highlight w:val="none"/>
        </w:rPr>
        <w:t>3.2.2潜水泵</w:t>
      </w:r>
      <w:bookmarkEnd w:id="148"/>
    </w:p>
    <w:p>
      <w:pPr>
        <w:spacing w:line="360" w:lineRule="auto"/>
        <w:rPr>
          <w:rFonts w:ascii="宋体" w:hAnsi="宋体" w:cs="宋体"/>
          <w:sz w:val="24"/>
          <w:highlight w:val="none"/>
        </w:rPr>
      </w:pPr>
      <w:r>
        <w:rPr>
          <w:rFonts w:hint="eastAsia" w:ascii="宋体" w:hAnsi="宋体" w:cs="宋体"/>
          <w:sz w:val="24"/>
          <w:highlight w:val="none"/>
        </w:rPr>
        <w:t>1. 安装方法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蜗壳式潜水泵应能靠导轨与出水管座作自动耦合连结（除非另有规定），出水管弯座与集水坑内的泵基础应采用基础螺栓连结。自动耦合面应具有可靠和有效的密封，并便于在检查与维修时拆下。每一潜水泵的安装导向系统须配有吊链和合适的起吊设备。井筒式轴流（混流）潜水泵应在井筒内设置锥形板，耦合后应可靠定位密封。</w:t>
      </w:r>
    </w:p>
    <w:p>
      <w:pPr>
        <w:spacing w:line="360" w:lineRule="auto"/>
        <w:rPr>
          <w:rFonts w:ascii="宋体" w:hAnsi="宋体" w:cs="宋体"/>
          <w:sz w:val="24"/>
          <w:highlight w:val="none"/>
        </w:rPr>
      </w:pPr>
      <w:r>
        <w:rPr>
          <w:rFonts w:hint="eastAsia" w:ascii="宋体" w:hAnsi="宋体" w:cs="宋体"/>
          <w:sz w:val="24"/>
          <w:highlight w:val="none"/>
        </w:rPr>
        <w:t>2. 结构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a. 泵应与潜水电机直联，并应具有不堵塞、不过载的特性，应在干式或关阀运行时也不会损坏，适用于污水或含颗粒的泥浆。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b. 泵壳和叶轮应采用高质量、高强度灰铸铁制作，泵轴如不与水接触可用碳钢，否则就应采用不锈钢并符合BS970，431S29或其他合适的材料。滚球和滚栓轴承应密封可靠和良好的润滑，能承受所有的径向和轴向荷载，并易于采购。所有的螺栓、螺钉及水泵的导轨应采用316S12不锈钢。为保证装配精度应采用可靠的对中和定位措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c. 每台泵必须配备串联式转轴机械密封，下密封系统在泵和油箱之间，上密封在油箱和电机之间，密封装置在油箱内运行，不需要调节，油箱的设计要保证有一定的空间以容纳由于温度变化而引起的油膨胀，排放管和检查孔要有可靠的防漏油密封，并装在易于检修的位置。机械密封的工作寿命不低于25000小时。</w:t>
      </w:r>
    </w:p>
    <w:p>
      <w:pPr>
        <w:spacing w:line="360" w:lineRule="auto"/>
        <w:rPr>
          <w:rFonts w:ascii="宋体" w:hAnsi="宋体" w:cs="宋体"/>
          <w:sz w:val="24"/>
          <w:highlight w:val="none"/>
        </w:rPr>
      </w:pPr>
      <w:r>
        <w:rPr>
          <w:rFonts w:hint="eastAsia" w:ascii="宋体" w:hAnsi="宋体" w:cs="宋体"/>
          <w:sz w:val="24"/>
          <w:highlight w:val="none"/>
        </w:rPr>
        <w:t>3. 水泵电动机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普通水泵电机采用风冷式鼠笼型感应电动机。潜水泵电动机必须是自冷式或带油冷系统的鼠笼型感应电动机。</w:t>
      </w:r>
    </w:p>
    <w:p>
      <w:pPr>
        <w:spacing w:line="360" w:lineRule="auto"/>
        <w:rPr>
          <w:rFonts w:ascii="宋体" w:hAnsi="宋体" w:cs="宋体"/>
          <w:sz w:val="24"/>
          <w:highlight w:val="none"/>
        </w:rPr>
      </w:pPr>
      <w:r>
        <w:rPr>
          <w:rFonts w:hint="eastAsia" w:ascii="宋体" w:hAnsi="宋体" w:cs="宋体"/>
          <w:sz w:val="24"/>
          <w:highlight w:val="none"/>
        </w:rPr>
        <w:t>电动机必须具有以下设计特点：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a.  潜水电机防护等级为IP68。</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b.  当泵在其特性曲线图的任一点上运转时，电机都不会超负荷。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c.  最大转速≤1500r/min。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d.  380V，3P，50Hz。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e.  满负荷功率因率不低于0.85。</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f.  直接起动。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g.  最大起动电流不超过电机额定电流的6倍。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h.  轴承。</w:t>
      </w:r>
    </w:p>
    <w:p>
      <w:pPr>
        <w:spacing w:line="360" w:lineRule="auto"/>
        <w:ind w:left="420" w:leftChars="200"/>
        <w:rPr>
          <w:rFonts w:ascii="宋体" w:hAnsi="宋体" w:cs="宋体"/>
          <w:sz w:val="24"/>
          <w:highlight w:val="none"/>
        </w:rPr>
      </w:pPr>
      <w:r>
        <w:rPr>
          <w:rFonts w:hint="eastAsia" w:ascii="宋体" w:hAnsi="宋体" w:cs="宋体"/>
          <w:sz w:val="24"/>
          <w:highlight w:val="none"/>
        </w:rPr>
        <w:t>水泵电动机的轴承必须是滚动轴承，为油脂或油润滑密封型的，这些轴承必须设计成在所有的运行条件下都能承受轴上的径向和轴向负荷。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i.  对定子线圈和定子引出线，必须采用F级防水绝缘。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j.  电机必须设计成能连续运转，每小时至少能够起动12次，而不会引起任何有害影响。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k.  水下电缆进线的水密封设计必须符合规定的扭矩要求，以确保水密和潜水密封，电缆进线接线盒和电机要用定子引线密封套或终端板把它们分开，以防杂质进入电机内侧。</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l.  电源及控制电缆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接到潜水电机上的电源和控制电缆必须是潜水型的，并应采用柔性的铠装电缆。</w:t>
      </w:r>
    </w:p>
    <w:p>
      <w:pPr>
        <w:spacing w:line="360" w:lineRule="auto"/>
        <w:rPr>
          <w:rFonts w:ascii="宋体" w:hAnsi="宋体" w:cs="宋体"/>
          <w:sz w:val="24"/>
          <w:highlight w:val="none"/>
        </w:rPr>
      </w:pPr>
      <w:r>
        <w:rPr>
          <w:rFonts w:hint="eastAsia" w:ascii="宋体" w:hAnsi="宋体" w:cs="宋体"/>
          <w:sz w:val="24"/>
          <w:highlight w:val="none"/>
        </w:rPr>
        <w:t>这些电缆必须有足够的长度并联结到电机层上墙式的控制盘上，同时，还应将防火，防水的启动/停止按钮，安装在合适的地方便于对每台泵进行手动控制。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潜水电机的冷却系统必须保证电机在全浸没条件或在干燥环境里都能连续运行。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m.  电机保护装置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电机必须具有下述保护装置，把线引至电源和控制板使电缆与遥控报警系统(220v交流电，50Hz)连接起来，如果需用终端箱，应为防火及防水型的。</w:t>
      </w:r>
    </w:p>
    <w:p>
      <w:pPr>
        <w:spacing w:line="360" w:lineRule="auto"/>
        <w:rPr>
          <w:rFonts w:ascii="宋体" w:hAnsi="宋体" w:cs="宋体"/>
          <w:sz w:val="24"/>
          <w:highlight w:val="none"/>
        </w:rPr>
      </w:pPr>
      <w:r>
        <w:rPr>
          <w:rFonts w:hint="eastAsia" w:ascii="宋体" w:hAnsi="宋体" w:cs="宋体"/>
          <w:sz w:val="24"/>
          <w:highlight w:val="none"/>
        </w:rPr>
        <w:t>提供的定子要配备热保护开关，嵌设在定子绕组的三只终端线圈上。</w:t>
      </w:r>
    </w:p>
    <w:p>
      <w:pPr>
        <w:spacing w:line="360" w:lineRule="auto"/>
        <w:rPr>
          <w:rFonts w:ascii="宋体" w:hAnsi="宋体" w:cs="宋体"/>
          <w:sz w:val="24"/>
          <w:highlight w:val="none"/>
        </w:rPr>
      </w:pPr>
      <w:r>
        <w:rPr>
          <w:rFonts w:hint="eastAsia" w:ascii="宋体" w:hAnsi="宋体" w:cs="宋体"/>
          <w:sz w:val="24"/>
          <w:highlight w:val="none"/>
        </w:rPr>
        <w:t>在油箱内要设置渗漏传感器来测定漏油及渗水，以防污水进入定子终端线圈，需设置信号变送装置，满足信号上传至电控箱要求，便于上位控制系统接收。</w:t>
      </w:r>
    </w:p>
    <w:p>
      <w:pPr>
        <w:spacing w:line="360" w:lineRule="auto"/>
        <w:rPr>
          <w:rFonts w:ascii="宋体" w:hAnsi="宋体" w:cs="宋体"/>
          <w:sz w:val="24"/>
          <w:highlight w:val="none"/>
        </w:rPr>
      </w:pPr>
      <w:r>
        <w:rPr>
          <w:rFonts w:hint="eastAsia" w:ascii="宋体" w:hAnsi="宋体" w:cs="宋体"/>
          <w:sz w:val="24"/>
          <w:highlight w:val="none"/>
        </w:rPr>
        <w:t>4. 附件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a. 泵的不锈钢制铭牌应设在显目的地方，板上应具有压制详细数据。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b. 每台泵提供启吊柄，吊柄应设在启吊的重心位置，并应提供与电动葫芦相配合的吊链。</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49" w:name="_Toc298167577"/>
      <w:r>
        <w:rPr>
          <w:rFonts w:hint="eastAsia" w:cs="宋体"/>
          <w:sz w:val="24"/>
          <w:szCs w:val="24"/>
          <w:highlight w:val="none"/>
        </w:rPr>
        <w:t>3.2.3加药泵</w:t>
      </w:r>
      <w:bookmarkEnd w:id="149"/>
    </w:p>
    <w:p>
      <w:pPr>
        <w:spacing w:line="360" w:lineRule="auto"/>
        <w:ind w:firstLine="480" w:firstLineChars="200"/>
        <w:rPr>
          <w:rFonts w:ascii="宋体" w:hAnsi="宋体" w:cs="宋体"/>
          <w:sz w:val="24"/>
          <w:highlight w:val="none"/>
        </w:rPr>
      </w:pPr>
      <w:r>
        <w:rPr>
          <w:rFonts w:hint="eastAsia" w:ascii="宋体" w:hAnsi="宋体" w:cs="宋体"/>
          <w:sz w:val="24"/>
          <w:highlight w:val="none"/>
        </w:rPr>
        <w:t>加药泵应为变容隔膜型。并具有可变冲程长度和可变转速的驱动系统电机速度(或电子控制，电磁操纵的可变冲程频率)。</w:t>
      </w:r>
    </w:p>
    <w:p>
      <w:pPr>
        <w:spacing w:line="360" w:lineRule="auto"/>
        <w:rPr>
          <w:rFonts w:ascii="宋体" w:hAnsi="宋体" w:cs="宋体"/>
          <w:sz w:val="24"/>
          <w:highlight w:val="none"/>
        </w:rPr>
      </w:pPr>
      <w:r>
        <w:rPr>
          <w:rFonts w:hint="eastAsia" w:ascii="宋体" w:hAnsi="宋体" w:cs="宋体"/>
          <w:sz w:val="24"/>
          <w:highlight w:val="none"/>
        </w:rPr>
        <w:t>1. 机械驱动泵</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包含有齿轮装置，往复和可变冲程机构的主要泵体应放置在一个坚固金属壳体中，以保证刚性和正确对中。润滑应为油浴润滑，配有检查油位和顶端加油装置。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冲程长度应对于加药控制自动可调，也可通过转动刻有百分比刻度的手轮从零到最大冲程范围进行和调节，手轮中应装有锁紧装置以防冲程突然变化。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泵的驱动装置应为异步感应电机和齿轮减速装置(不得采用皮带驱动)，可变速度应与水的流量成比例。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泵轴应为不锈钢，泵的旋转部件应作动平衡，并应采用合适的轴承以防不正常的振动。泵的材料应能抵卸化学腐蚀作用，隔膜应能适用连续运行。紧固螺栓，螺母和垫圈应为不锈钢。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泵的设计应使推力不传到驱动电机上，需要并联运行的泵组应为这种运行工况作好设计以确保负荷相等。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与化学物质接触的金属零件应为不锈钢或经批准的其他耐腐蚀材料。</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泵体应用不锈钢或其他许可的材料与聚四氟乙烯隔膜制作成一体。泵的阀门应为球型阀门，采用不锈钢和聚四氟乙烯或丁腈橡胶制作。受压零件应经150%的额定水压测试。进水管和出水管联接应用螺纹联接头联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冲程可调系统的精确度应在最大冲程长度2%之内。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驱动电动机应为法兰安装的异步感应电动机，适合电源380V，3相，50Hz，F级绝缘，防护等级为IP65。</w:t>
      </w:r>
    </w:p>
    <w:p>
      <w:pPr>
        <w:spacing w:line="360" w:lineRule="auto"/>
        <w:rPr>
          <w:rFonts w:ascii="宋体" w:hAnsi="宋体" w:cs="宋体"/>
          <w:sz w:val="24"/>
          <w:highlight w:val="none"/>
        </w:rPr>
      </w:pPr>
      <w:r>
        <w:rPr>
          <w:rFonts w:hint="eastAsia" w:ascii="宋体" w:hAnsi="宋体" w:cs="宋体"/>
          <w:sz w:val="24"/>
          <w:highlight w:val="none"/>
        </w:rPr>
        <w:t>2. 电磁泵</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电气控制、电磁操作的加药泵结构应坚固，适合于长期可靠运行。冲程长度应对加药控制自调整，也能手动调整，不论何种方法调整都能在泵的运行状态下进行。</w:t>
      </w:r>
    </w:p>
    <w:p>
      <w:pPr>
        <w:spacing w:line="360" w:lineRule="auto"/>
        <w:rPr>
          <w:rFonts w:ascii="宋体" w:hAnsi="宋体" w:cs="宋体"/>
          <w:sz w:val="24"/>
          <w:highlight w:val="none"/>
        </w:rPr>
      </w:pPr>
      <w:r>
        <w:rPr>
          <w:rFonts w:hint="eastAsia" w:ascii="宋体" w:hAnsi="宋体" w:cs="宋体"/>
          <w:sz w:val="24"/>
          <w:highlight w:val="none"/>
        </w:rPr>
        <w:t>泵的冲程速度控制系统应为固态设计，可变冲程速率与水的流量成正比，速度应为连续可调，范围在10%到100%，保证精度在最大速度的2%之内。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加药泵应设计成在冲程速度不超过每分钟125次获得最大的输出量。加药泵的总精度应根据输出容积确定，在10－100%的冲程长度和10－100%速度的工作范围内应在额定输出的4%之内，或根据有关冲程长度和速度的组合，得出的输出量计算。</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泵体与电机壳体的金属表面应涂有耐腐蚀油漆系统，使用耐化学药剂的瓷漆、环氧漆或其他经业主批准的油漆。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每台加药泵的吸入和输出口的联接管应使用短管(不超过1m)，并具有合适的直径和压力等级的挠性塑料软管。</w:t>
      </w:r>
    </w:p>
    <w:p>
      <w:pPr>
        <w:spacing w:line="360" w:lineRule="auto"/>
        <w:rPr>
          <w:rFonts w:ascii="宋体" w:hAnsi="宋体" w:cs="宋体"/>
          <w:sz w:val="24"/>
          <w:highlight w:val="none"/>
        </w:rPr>
      </w:pPr>
      <w:r>
        <w:rPr>
          <w:rFonts w:hint="eastAsia" w:ascii="宋体" w:hAnsi="宋体" w:cs="宋体"/>
          <w:sz w:val="24"/>
          <w:highlight w:val="none"/>
        </w:rPr>
        <w:t>每台泵的输出管路应提供：</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a) 隔离阀(隔膜型)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b) 装有阀门的冲洗水支管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加药泵的进口管道(要保证安全)应使每台泵可以联接起来，从一个合适的标定容器中抽吸(容器最大与最小刻度大致等于泵的最大输出量情况下工作30s)。</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50" w:name="_Toc298167578"/>
      <w:r>
        <w:rPr>
          <w:rFonts w:hint="eastAsia" w:cs="宋体"/>
          <w:sz w:val="24"/>
          <w:szCs w:val="24"/>
          <w:highlight w:val="none"/>
        </w:rPr>
        <w:t>3.2.4给水泵</w:t>
      </w:r>
      <w:bookmarkEnd w:id="150"/>
    </w:p>
    <w:p>
      <w:pPr>
        <w:spacing w:line="360" w:lineRule="auto"/>
        <w:rPr>
          <w:rFonts w:ascii="宋体" w:hAnsi="宋体" w:cs="宋体"/>
          <w:sz w:val="24"/>
          <w:highlight w:val="none"/>
        </w:rPr>
      </w:pPr>
      <w:r>
        <w:rPr>
          <w:rFonts w:hint="eastAsia" w:ascii="宋体" w:hAnsi="宋体" w:cs="宋体"/>
          <w:sz w:val="24"/>
          <w:highlight w:val="none"/>
        </w:rPr>
        <w:t>给水泵的设计应符合下列要求：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 在现场条件下，泵在要求的出水流量工作条件下能长期运行。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 “扬程～流量”特性曲线稳定，从工作点到闭水扬程应有足够的上升曲线以避免水压小的变化而引起输出流量的改变。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泵的水流通道应表面光滑，没有凹坑和阻碍物。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旋转零件在总装前，应作静、动平衡测试。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泵壳体和轴承座应为铸铁。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泵应装有可更换的叶轮或铸铁磨损环。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泵叶轮应为青铜，铜锡锌合金或不锈钢，并用键与轴连接。主要泵的轴承应为脂润滑的滚子止推和向心滚柱型。泵的设计应能使推力不作用到驱动电机上。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泵轴应为碳钢，在通过底吸泵的填料箱和在高压水泵水润滑的中间支承处，应有不锈钢和相似材料的衬套。</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泵应在泵壳的最高点配有放气阀，在最低点配有排水阀。铜管或合适的塑料管应从空气阀和排水阀处引出，接到带有密封盖的漏水斗中。</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每台泵应在吸口端和出水端配置压力表，表具应为150mm直径，并配有隔离旋阀。表面刻度以水深m为最小刻度，Bar为压力单位。每台泵的所有表具都应装在一个共同的表盘上。</w:t>
      </w:r>
    </w:p>
    <w:p>
      <w:pPr>
        <w:spacing w:line="360" w:lineRule="auto"/>
        <w:rPr>
          <w:rFonts w:ascii="宋体" w:hAnsi="宋体" w:cs="宋体"/>
          <w:sz w:val="24"/>
          <w:highlight w:val="none"/>
        </w:rPr>
      </w:pPr>
      <w:r>
        <w:rPr>
          <w:rFonts w:hint="eastAsia" w:ascii="宋体" w:hAnsi="宋体" w:cs="宋体"/>
          <w:sz w:val="24"/>
          <w:highlight w:val="none"/>
        </w:rPr>
        <w:t>底吸式泵应能布置成从底部卸出来，≤80mm出水管直径的底吸式泵可以为单根轴、驱动电动机为法兰式，泵壳由独立地管道支撑。每台超过80mm出水管直径的泵应用间隔式联轴器联接以达到泵的旋转部件的窜动而使电机的干扰最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每台底吸式泵的填料密封应采用常规的水润滑软填料型，润滑水应从泵的出水端流出。</w:t>
      </w:r>
    </w:p>
    <w:p>
      <w:pPr>
        <w:spacing w:line="360" w:lineRule="auto"/>
        <w:rPr>
          <w:rFonts w:ascii="宋体" w:hAnsi="宋体" w:cs="宋体"/>
          <w:sz w:val="24"/>
          <w:highlight w:val="none"/>
        </w:rPr>
      </w:pPr>
      <w:r>
        <w:rPr>
          <w:rFonts w:hint="eastAsia" w:ascii="宋体" w:hAnsi="宋体" w:cs="宋体"/>
          <w:sz w:val="24"/>
          <w:highlight w:val="none"/>
        </w:rPr>
        <w:t>卧式的底吸式泵和电机应安装在共同铸铁底座或钢的底座上。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高压泵应为立式多级单吸泵，并装有不锈钢碳钢配对的机械密封。驱动电机应为支脚式或法兰安装式，异步感应电动机适合于电源380V，3P，50Hz，防护等级IP65。</w:t>
      </w:r>
    </w:p>
    <w:p>
      <w:pPr>
        <w:pStyle w:val="8"/>
        <w:numPr>
          <w:ilvl w:val="0"/>
          <w:numId w:val="0"/>
        </w:numPr>
        <w:tabs>
          <w:tab w:val="center" w:pos="-882"/>
        </w:tabs>
        <w:adjustRightInd w:val="0"/>
        <w:snapToGrid w:val="0"/>
        <w:spacing w:before="60" w:after="60"/>
        <w:ind w:left="868"/>
        <w:textAlignment w:val="baseline"/>
        <w:rPr>
          <w:rFonts w:cs="宋体"/>
          <w:sz w:val="24"/>
          <w:szCs w:val="24"/>
          <w:highlight w:val="none"/>
        </w:rPr>
      </w:pPr>
      <w:bookmarkStart w:id="151" w:name="_Toc298167579"/>
      <w:r>
        <w:rPr>
          <w:rFonts w:hint="eastAsia" w:cs="宋体"/>
          <w:sz w:val="24"/>
          <w:szCs w:val="24"/>
          <w:highlight w:val="none"/>
        </w:rPr>
        <w:t>3.2.5泵的测试</w:t>
      </w:r>
      <w:bookmarkEnd w:id="151"/>
    </w:p>
    <w:p>
      <w:pPr>
        <w:spacing w:line="360" w:lineRule="auto"/>
        <w:ind w:firstLine="480" w:firstLineChars="200"/>
        <w:rPr>
          <w:rFonts w:ascii="宋体" w:hAnsi="宋体" w:cs="宋体"/>
          <w:sz w:val="24"/>
          <w:highlight w:val="none"/>
        </w:rPr>
      </w:pPr>
      <w:r>
        <w:rPr>
          <w:rFonts w:hint="eastAsia" w:ascii="宋体" w:hAnsi="宋体" w:cs="宋体"/>
          <w:sz w:val="24"/>
          <w:highlight w:val="none"/>
        </w:rPr>
        <w:t>所有泵和在合同范围内的相关电机 ，应在制造厂内进行测试。测试应证明相关的泵装置能达到规定的工作点和在图纸上、详细技术规定中或由承包商在技术性能表中给定的工作范围。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旋转泵装置的性能测试，应使用清水测试，符合ISO2548。特殊旋转泵装置(如叶轮经特殊设计)应对其工作点/保证点作测试，并在规定的操作速度下验证“流量/扬程”，“流量/功率”，“流量/效率”曲线。如果泵是多级速度或可变速度，上述的性能曲线，应在最大和最小速度下提供。</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高密度介质泵装置应测试其工作点/保证点。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所有泵壳和其他压力件应在组装前以2倍的闭水扬程作静水压测试。变容泵应用1.5倍的管线压力进行静水压测试。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承包商应提供全部型式试验的证明交业主批准。承包商应提供泵特性曲线的试验证明，交业主批准。当泵安装完毕后，承包商应进行泵性能试验，以证明该泵是符合规定的技术要求。</w:t>
      </w:r>
    </w:p>
    <w:p>
      <w:pPr>
        <w:spacing w:line="360" w:lineRule="auto"/>
        <w:rPr>
          <w:rFonts w:ascii="宋体" w:hAnsi="宋体" w:cs="宋体"/>
          <w:sz w:val="24"/>
          <w:highlight w:val="none"/>
        </w:rPr>
      </w:pPr>
    </w:p>
    <w:p>
      <w:pPr>
        <w:pStyle w:val="7"/>
        <w:spacing w:line="360" w:lineRule="auto"/>
        <w:rPr>
          <w:rStyle w:val="38"/>
          <w:rFonts w:ascii="宋体" w:hAnsi="宋体" w:cs="宋体"/>
          <w:b w:val="0"/>
          <w:bCs/>
          <w:sz w:val="24"/>
          <w:szCs w:val="24"/>
          <w:highlight w:val="none"/>
        </w:rPr>
      </w:pPr>
      <w:bookmarkStart w:id="152" w:name="_Toc40254127"/>
      <w:r>
        <w:rPr>
          <w:rStyle w:val="38"/>
          <w:rFonts w:hint="eastAsia" w:ascii="宋体" w:hAnsi="宋体" w:cs="宋体"/>
          <w:b w:val="0"/>
          <w:bCs/>
          <w:sz w:val="24"/>
          <w:szCs w:val="24"/>
          <w:highlight w:val="none"/>
        </w:rPr>
        <w:t>3.3手动蝶阀特殊技术要求</w:t>
      </w:r>
      <w:bookmarkEnd w:id="152"/>
    </w:p>
    <w:p>
      <w:pPr>
        <w:spacing w:line="360" w:lineRule="auto"/>
        <w:rPr>
          <w:rFonts w:ascii="宋体" w:hAnsi="宋体" w:cs="宋体"/>
          <w:sz w:val="24"/>
          <w:highlight w:val="none"/>
        </w:rPr>
      </w:pP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3.3.1. 阀体结构：</w:t>
      </w:r>
    </w:p>
    <w:p>
      <w:pPr>
        <w:pStyle w:val="6"/>
        <w:spacing w:line="360" w:lineRule="auto"/>
        <w:ind w:firstLine="460"/>
        <w:rPr>
          <w:rFonts w:ascii="宋体" w:hAnsi="宋体" w:cs="宋体"/>
          <w:sz w:val="24"/>
          <w:szCs w:val="24"/>
          <w:highlight w:val="none"/>
        </w:rPr>
      </w:pPr>
      <w:r>
        <w:rPr>
          <w:rFonts w:hint="eastAsia" w:ascii="宋体" w:hAnsi="宋体" w:cs="宋体"/>
          <w:sz w:val="24"/>
          <w:szCs w:val="24"/>
          <w:highlight w:val="none"/>
        </w:rPr>
        <w:t>阀体采用球墨铸铁精密铸造，电炉熔炼并经退火处理消除内应力，外形美观，质地细密，结构均匀，无裂纹、缩孔、缩口、疏松和浇注不足等铸造缺陷；铸件清洁，形状正确，所有形状和尺寸的变化有较大的圆弧过渡和铸造圆角。</w:t>
      </w:r>
    </w:p>
    <w:p>
      <w:pPr>
        <w:spacing w:line="360" w:lineRule="auto"/>
        <w:ind w:firstLine="482" w:firstLineChars="200"/>
        <w:rPr>
          <w:rFonts w:ascii="宋体" w:hAnsi="宋体" w:cs="宋体"/>
          <w:b/>
          <w:sz w:val="24"/>
          <w:highlight w:val="none"/>
        </w:rPr>
      </w:pPr>
      <w:r>
        <w:rPr>
          <w:rFonts w:hint="eastAsia" w:ascii="宋体" w:hAnsi="宋体" w:cs="宋体"/>
          <w:b/>
          <w:bCs/>
          <w:sz w:val="24"/>
          <w:highlight w:val="none"/>
        </w:rPr>
        <w:t>3.3.2. 蝶板结构</w:t>
      </w:r>
      <w:r>
        <w:rPr>
          <w:rFonts w:hint="eastAsia" w:ascii="宋体" w:hAnsi="宋体" w:cs="宋体"/>
          <w:b/>
          <w:sz w:val="24"/>
          <w:highlight w:val="none"/>
        </w:rPr>
        <w:t>：</w:t>
      </w:r>
    </w:p>
    <w:p>
      <w:pPr>
        <w:pStyle w:val="6"/>
        <w:spacing w:line="360" w:lineRule="auto"/>
        <w:ind w:firstLine="460"/>
        <w:rPr>
          <w:rFonts w:ascii="宋体" w:hAnsi="宋体" w:cs="宋体"/>
          <w:sz w:val="24"/>
          <w:szCs w:val="24"/>
          <w:highlight w:val="none"/>
        </w:rPr>
      </w:pPr>
      <w:r>
        <w:rPr>
          <w:rFonts w:hint="eastAsia" w:ascii="宋体" w:hAnsi="宋体" w:cs="宋体"/>
          <w:sz w:val="24"/>
          <w:szCs w:val="24"/>
          <w:highlight w:val="none"/>
        </w:rPr>
        <w:t>蝶板材料为球墨铸铁，桁架式结构，退火处理、 抛丸处理, 有效去除残余应力并改善组织结构, 提高表面质量, 桁架式结构蝶板具有强度高、刚度好及流阻小，在加工上技术上采取精确快速镗孔工装并获得相应证书。</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3.3.3. 阀轴结构：</w:t>
      </w:r>
    </w:p>
    <w:p>
      <w:pPr>
        <w:pStyle w:val="6"/>
        <w:spacing w:line="360" w:lineRule="auto"/>
        <w:ind w:firstLine="460"/>
        <w:rPr>
          <w:rFonts w:ascii="宋体" w:hAnsi="宋体" w:cs="宋体"/>
          <w:sz w:val="24"/>
          <w:szCs w:val="24"/>
          <w:highlight w:val="none"/>
        </w:rPr>
      </w:pPr>
      <w:r>
        <w:rPr>
          <w:rFonts w:hint="eastAsia" w:ascii="宋体" w:hAnsi="宋体" w:cs="宋体"/>
          <w:sz w:val="24"/>
          <w:szCs w:val="24"/>
          <w:highlight w:val="none"/>
        </w:rPr>
        <w:t>阀轴采用上下半轴结构，减小过流断面，降低水损，结构合理。</w:t>
      </w:r>
    </w:p>
    <w:p>
      <w:pPr>
        <w:pStyle w:val="6"/>
        <w:spacing w:line="360" w:lineRule="auto"/>
        <w:ind w:firstLine="460"/>
        <w:rPr>
          <w:rFonts w:ascii="宋体" w:hAnsi="宋体" w:cs="宋体"/>
          <w:sz w:val="24"/>
          <w:szCs w:val="24"/>
          <w:highlight w:val="none"/>
        </w:rPr>
      </w:pPr>
      <w:r>
        <w:rPr>
          <w:rFonts w:hint="eastAsia" w:ascii="宋体" w:hAnsi="宋体" w:cs="宋体"/>
          <w:sz w:val="24"/>
          <w:szCs w:val="24"/>
          <w:highlight w:val="none"/>
        </w:rPr>
        <w:t>不锈钢阀轴及铜合金轴套具有自润滑性，在整个寿命期内不需加润滑油脂。</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3.3.4. 阀轴与阀板的连接：</w:t>
      </w:r>
    </w:p>
    <w:p>
      <w:pPr>
        <w:spacing w:line="360" w:lineRule="auto"/>
        <w:ind w:firstLine="480" w:firstLineChars="200"/>
        <w:rPr>
          <w:rFonts w:ascii="宋体" w:hAnsi="宋体" w:cs="宋体"/>
          <w:bCs/>
          <w:sz w:val="24"/>
          <w:highlight w:val="none"/>
        </w:rPr>
      </w:pPr>
      <w:r>
        <w:rPr>
          <w:rFonts w:hint="eastAsia" w:ascii="宋体" w:hAnsi="宋体" w:cs="宋体"/>
          <w:sz w:val="24"/>
          <w:highlight w:val="none"/>
        </w:rPr>
        <w:t>阀轴与阀板的连接采用不锈钢圆锥销，配有不锈钢锁紧螺母，外形美观，确保在工作情况下不松动，无渗漏</w:t>
      </w:r>
      <w:r>
        <w:rPr>
          <w:rFonts w:hint="eastAsia" w:ascii="宋体" w:hAnsi="宋体" w:cs="宋体"/>
          <w:bCs/>
          <w:sz w:val="24"/>
          <w:highlight w:val="none"/>
        </w:rPr>
        <w:t>。</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3.3.5. 轴承：</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采用自润滑作用的材料制成，对水和橡胶不产生有害影响；轴承与阀轴的连接保证阀轴有良好的运转性能，减少阀轴与阀板的磨损。轴承材料为铜合金，在最大的压力负荷下，轴承运转时摩擦系数小于0.25。</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3.3.6. 先进合理的密封结构：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阀体密封圈可调，并带有防脱落装置。阀体密封采用在阀体上开沟槽，将橡胶密封圈整体嵌入，再用一圈压板压住，压板上设有压紧螺栓和调节螺栓，压紧螺栓将压板固定在阀体上，调节螺栓用于微调密封圈。橡胶密封圈固定于阀体上，以便于更换。硅橡胶圈整体成型，具有良好的耐磨性、弹性、抗腐蚀性及抗老化性。</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（2）阀板密封面堆焊不锈钢精加工成球面，球面结构使蝶阀因磨损产生轴向旋转间隙在20范围内时密封副仍保持零泄漏。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蝶阀采用球面、双偏心密封，使得密封效果更加完善可靠。无擦伤、耐高温、耐腐蚀、合理的结构设计，使阀门由于长期使用密封面磨损而得到自动有效的补偿，使密封面保持完好密封效果，使阀门启闭力矩得到有效降低，从而使使用寿命更长。</w:t>
      </w:r>
    </w:p>
    <w:p>
      <w:pPr>
        <w:spacing w:line="360" w:lineRule="auto"/>
        <w:ind w:firstLine="482" w:firstLineChars="200"/>
        <w:rPr>
          <w:rFonts w:ascii="宋体" w:hAnsi="宋体" w:cs="宋体"/>
          <w:sz w:val="24"/>
          <w:highlight w:val="none"/>
        </w:rPr>
      </w:pPr>
      <w:r>
        <w:rPr>
          <w:rFonts w:hint="eastAsia" w:ascii="宋体" w:hAnsi="宋体" w:cs="宋体"/>
          <w:b/>
          <w:bCs/>
          <w:sz w:val="24"/>
          <w:highlight w:val="none"/>
        </w:rPr>
        <w:t>3.3.7. 轴密封结构：</w:t>
      </w:r>
      <w:r>
        <w:rPr>
          <w:rFonts w:hint="eastAsia" w:ascii="宋体" w:hAnsi="宋体" w:cs="宋体"/>
          <w:sz w:val="24"/>
          <w:highlight w:val="none"/>
        </w:rPr>
        <w:t>采用先进浮动自润骨架式双面Ｏ型橡胶圈，耐磨损、密封性能好、磨擦系数小，更换方便，节约检修时间。</w:t>
      </w:r>
    </w:p>
    <w:p>
      <w:pPr>
        <w:pStyle w:val="29"/>
        <w:spacing w:line="360" w:lineRule="auto"/>
        <w:ind w:firstLine="481"/>
        <w:rPr>
          <w:rFonts w:cs="宋体"/>
          <w:b w:val="0"/>
          <w:bCs/>
          <w:highlight w:val="none"/>
        </w:rPr>
      </w:pPr>
      <w:r>
        <w:rPr>
          <w:rFonts w:hint="eastAsia" w:cs="宋体"/>
          <w:bCs/>
          <w:highlight w:val="none"/>
        </w:rPr>
        <w:t>3.3.8</w:t>
      </w:r>
      <w:r>
        <w:rPr>
          <w:rFonts w:hint="eastAsia" w:cs="宋体"/>
          <w:highlight w:val="none"/>
        </w:rPr>
        <w:t>. 手动装置：</w:t>
      </w:r>
      <w:r>
        <w:rPr>
          <w:rFonts w:hint="eastAsia" w:cs="宋体"/>
          <w:b w:val="0"/>
          <w:bCs/>
          <w:highlight w:val="none"/>
        </w:rPr>
        <w:t>手动执行机构在任何位置都有自锁，并配有手轮。手轮上清楚地标明启闭方向，手轮顺时针旋转为关闭阀门，人工操作时以不大于15Kg的力启闭阀门，以易于操作。</w:t>
      </w:r>
    </w:p>
    <w:p>
      <w:pPr>
        <w:spacing w:line="360" w:lineRule="auto"/>
        <w:rPr>
          <w:rFonts w:ascii="宋体" w:hAnsi="宋体" w:cs="宋体"/>
          <w:sz w:val="24"/>
          <w:highlight w:val="none"/>
        </w:rPr>
      </w:pPr>
    </w:p>
    <w:p>
      <w:pPr>
        <w:pStyle w:val="7"/>
        <w:spacing w:line="360" w:lineRule="auto"/>
        <w:rPr>
          <w:rStyle w:val="38"/>
          <w:rFonts w:ascii="宋体" w:hAnsi="宋体" w:cs="宋体"/>
          <w:b w:val="0"/>
          <w:bCs/>
          <w:sz w:val="24"/>
          <w:szCs w:val="24"/>
          <w:highlight w:val="none"/>
        </w:rPr>
      </w:pPr>
      <w:bookmarkStart w:id="153" w:name="_Toc40254128"/>
      <w:r>
        <w:rPr>
          <w:rStyle w:val="38"/>
          <w:rFonts w:hint="eastAsia" w:ascii="宋体" w:hAnsi="宋体" w:cs="宋体"/>
          <w:b w:val="0"/>
          <w:bCs/>
          <w:sz w:val="24"/>
          <w:szCs w:val="24"/>
          <w:highlight w:val="none"/>
        </w:rPr>
        <w:t>3.4电动蝶阀特殊技术要求</w:t>
      </w:r>
      <w:bookmarkEnd w:id="153"/>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3.4.1. 阀体结构：</w:t>
      </w:r>
    </w:p>
    <w:p>
      <w:pPr>
        <w:pStyle w:val="6"/>
        <w:spacing w:line="360" w:lineRule="auto"/>
        <w:ind w:firstLine="460"/>
        <w:rPr>
          <w:rFonts w:ascii="宋体" w:hAnsi="宋体" w:cs="宋体"/>
          <w:sz w:val="24"/>
          <w:szCs w:val="24"/>
          <w:highlight w:val="none"/>
        </w:rPr>
      </w:pPr>
      <w:r>
        <w:rPr>
          <w:rFonts w:hint="eastAsia" w:ascii="宋体" w:hAnsi="宋体" w:cs="宋体"/>
          <w:sz w:val="24"/>
          <w:szCs w:val="24"/>
          <w:highlight w:val="none"/>
        </w:rPr>
        <w:t>阀体采用球墨铸铁精密铸造，电炉熔炼并经退火处理消除内应力，外形美观，质地细密，结构均匀，无裂纹、缩孔、缩口、疏松和浇注不足等铸造缺陷；铸件清洁，形状正确，所有形状和尺寸的变化有较大的圆弧过渡和铸造圆角。</w:t>
      </w:r>
    </w:p>
    <w:p>
      <w:pPr>
        <w:spacing w:line="360" w:lineRule="auto"/>
        <w:ind w:firstLine="482" w:firstLineChars="200"/>
        <w:rPr>
          <w:rFonts w:ascii="宋体" w:hAnsi="宋体" w:cs="宋体"/>
          <w:b/>
          <w:sz w:val="24"/>
          <w:highlight w:val="none"/>
        </w:rPr>
      </w:pPr>
      <w:r>
        <w:rPr>
          <w:rFonts w:hint="eastAsia" w:ascii="宋体" w:hAnsi="宋体" w:cs="宋体"/>
          <w:b/>
          <w:bCs/>
          <w:sz w:val="24"/>
          <w:highlight w:val="none"/>
        </w:rPr>
        <w:t>3.4.2. 蝶板结构</w:t>
      </w:r>
      <w:r>
        <w:rPr>
          <w:rFonts w:hint="eastAsia" w:ascii="宋体" w:hAnsi="宋体" w:cs="宋体"/>
          <w:b/>
          <w:sz w:val="24"/>
          <w:highlight w:val="none"/>
        </w:rPr>
        <w:t>：</w:t>
      </w:r>
    </w:p>
    <w:p>
      <w:pPr>
        <w:pStyle w:val="6"/>
        <w:spacing w:line="360" w:lineRule="auto"/>
        <w:ind w:firstLine="460"/>
        <w:rPr>
          <w:rFonts w:ascii="宋体" w:hAnsi="宋体" w:cs="宋体"/>
          <w:sz w:val="24"/>
          <w:szCs w:val="24"/>
          <w:highlight w:val="none"/>
        </w:rPr>
      </w:pPr>
      <w:r>
        <w:rPr>
          <w:rFonts w:hint="eastAsia" w:ascii="宋体" w:hAnsi="宋体" w:cs="宋体"/>
          <w:sz w:val="24"/>
          <w:szCs w:val="24"/>
          <w:highlight w:val="none"/>
        </w:rPr>
        <w:t>蝶板材料为球墨铸铁，桁架式结构，退火处理、 抛丸处理, 有效去除残余应力并改善组织结构, 提高表面质量, 桁架式结构蝶板具有强度高、刚度好及流阻小，在加工上技术上采取精确快速镗孔工装并获得相应证书。</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3.4.3. 阀轴结构：</w:t>
      </w:r>
    </w:p>
    <w:p>
      <w:pPr>
        <w:pStyle w:val="6"/>
        <w:spacing w:line="360" w:lineRule="auto"/>
        <w:ind w:firstLine="460"/>
        <w:rPr>
          <w:rFonts w:ascii="宋体" w:hAnsi="宋体" w:cs="宋体"/>
          <w:sz w:val="24"/>
          <w:szCs w:val="24"/>
          <w:highlight w:val="none"/>
        </w:rPr>
      </w:pPr>
      <w:r>
        <w:rPr>
          <w:rFonts w:hint="eastAsia" w:ascii="宋体" w:hAnsi="宋体" w:cs="宋体"/>
          <w:sz w:val="24"/>
          <w:szCs w:val="24"/>
          <w:highlight w:val="none"/>
        </w:rPr>
        <w:t>阀轴采用上下半轴结构，减小过流断面，降低水损，结构合理。</w:t>
      </w:r>
    </w:p>
    <w:p>
      <w:pPr>
        <w:pStyle w:val="6"/>
        <w:spacing w:line="360" w:lineRule="auto"/>
        <w:ind w:firstLine="460"/>
        <w:rPr>
          <w:rFonts w:ascii="宋体" w:hAnsi="宋体" w:cs="宋体"/>
          <w:sz w:val="24"/>
          <w:szCs w:val="24"/>
          <w:highlight w:val="none"/>
        </w:rPr>
      </w:pPr>
      <w:r>
        <w:rPr>
          <w:rFonts w:hint="eastAsia" w:ascii="宋体" w:hAnsi="宋体" w:cs="宋体"/>
          <w:sz w:val="24"/>
          <w:szCs w:val="24"/>
          <w:highlight w:val="none"/>
        </w:rPr>
        <w:t>不锈钢阀轴及铜合金轴套具有自润滑性，在整个寿命期内不需加润滑油脂。</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3.2.4. 阀轴与阀板的连接：</w:t>
      </w:r>
    </w:p>
    <w:p>
      <w:pPr>
        <w:spacing w:line="360" w:lineRule="auto"/>
        <w:ind w:firstLine="480" w:firstLineChars="200"/>
        <w:rPr>
          <w:rFonts w:ascii="宋体" w:hAnsi="宋体" w:cs="宋体"/>
          <w:bCs/>
          <w:sz w:val="24"/>
          <w:highlight w:val="none"/>
        </w:rPr>
      </w:pPr>
      <w:r>
        <w:rPr>
          <w:rFonts w:hint="eastAsia" w:ascii="宋体" w:hAnsi="宋体" w:cs="宋体"/>
          <w:sz w:val="24"/>
          <w:highlight w:val="none"/>
        </w:rPr>
        <w:t>阀轴与阀板的连接采用不锈钢圆锥销，配有不锈钢锁紧螺母，外形美观，确保在工作情况下不松动，无渗漏</w:t>
      </w:r>
      <w:r>
        <w:rPr>
          <w:rFonts w:hint="eastAsia" w:ascii="宋体" w:hAnsi="宋体" w:cs="宋体"/>
          <w:bCs/>
          <w:sz w:val="24"/>
          <w:highlight w:val="none"/>
        </w:rPr>
        <w:t>。</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3.4.5. 轴承：</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采用自润滑作用的材料制成，对水和橡胶不产生有害影响；轴承与阀轴的连接保证阀轴有良好的运转性能，减少阀轴与阀板的磨损。轴承材料为铜合金，在最大的压力负荷下，轴承运转时摩擦系数小于0.25。</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3.4.6. 先进合理的密封结构：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阀体密封圈可调，并带有防脱落装置。阀体密封采用在阀体上开沟槽，将橡胶密封圈整体嵌入，再用一圈压板压住，压板上设有压紧螺栓和调节螺栓，压紧螺栓将压板固定在阀体上，调节螺栓用于微调密封圈。橡胶密封圈固定于阀体上，以便于更换。硅橡胶圈整体成型，具有良好的耐磨性、弹性、抗腐蚀性及抗老化性。</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（2）阀板密封面堆焊不锈钢精加工成球面，球面结构使蝶阀因磨损产生轴向旋转间隙在20范围内时密封副仍保持零泄漏。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蝶阀采用球面、双偏心密封，使得密封效果更加完善可靠。无擦伤、耐高温、耐腐蚀、合理的结构设计，使阀门由于长期使用密封面磨损而得到自动有效的补偿，使密封面保持完好密封效果，使阀门启闭力矩得到有效降低，从而使使用寿命更长。</w:t>
      </w:r>
    </w:p>
    <w:p>
      <w:pPr>
        <w:spacing w:line="360" w:lineRule="auto"/>
        <w:ind w:firstLine="482" w:firstLineChars="200"/>
        <w:rPr>
          <w:rFonts w:ascii="宋体" w:hAnsi="宋体" w:cs="宋体"/>
          <w:sz w:val="24"/>
          <w:highlight w:val="none"/>
        </w:rPr>
      </w:pPr>
      <w:r>
        <w:rPr>
          <w:rFonts w:hint="eastAsia" w:ascii="宋体" w:hAnsi="宋体" w:cs="宋体"/>
          <w:b/>
          <w:bCs/>
          <w:sz w:val="24"/>
          <w:highlight w:val="none"/>
        </w:rPr>
        <w:t>3.4.7. 轴密封结构：</w:t>
      </w:r>
      <w:r>
        <w:rPr>
          <w:rFonts w:hint="eastAsia" w:ascii="宋体" w:hAnsi="宋体" w:cs="宋体"/>
          <w:sz w:val="24"/>
          <w:highlight w:val="none"/>
        </w:rPr>
        <w:t>采用先进浮动自润骨架式双面Ｏ型橡胶圈，耐磨损、密封性能好、磨擦系数小，更换方便，节约检修时间。</w:t>
      </w:r>
    </w:p>
    <w:p>
      <w:pPr>
        <w:pStyle w:val="3"/>
        <w:spacing w:line="360" w:lineRule="auto"/>
        <w:ind w:firstLine="482" w:firstLineChars="200"/>
        <w:rPr>
          <w:rFonts w:ascii="宋体" w:hAnsi="宋体" w:cs="宋体"/>
          <w:highlight w:val="none"/>
        </w:rPr>
      </w:pPr>
      <w:r>
        <w:rPr>
          <w:rFonts w:hint="eastAsia" w:ascii="宋体" w:hAnsi="宋体" w:cs="宋体"/>
          <w:b/>
          <w:bCs/>
          <w:highlight w:val="none"/>
        </w:rPr>
        <w:t>3.4.8. 电动执行机构：</w:t>
      </w:r>
    </w:p>
    <w:p>
      <w:pPr>
        <w:pStyle w:val="17"/>
        <w:snapToGrid w:val="0"/>
        <w:spacing w:before="63" w:beforeLines="20" w:after="63" w:afterLines="20" w:line="360" w:lineRule="auto"/>
        <w:ind w:firstLine="482"/>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sz w:val="24"/>
          <w:highlight w:val="none"/>
        </w:rPr>
        <w:t>A、基本要求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本工程(阀门、闸门)所需电动执行机构均采用智能型一体化电动执行机构</w:t>
      </w:r>
      <w:r>
        <w:rPr>
          <w:rFonts w:hint="eastAsia" w:ascii="宋体" w:hAnsi="宋体" w:cs="宋体"/>
          <w:color w:val="FF0000"/>
          <w:sz w:val="24"/>
          <w:highlight w:val="none"/>
        </w:rPr>
        <w:t>，</w:t>
      </w:r>
      <w:r>
        <w:rPr>
          <w:rFonts w:hint="eastAsia" w:ascii="宋体" w:hAnsi="宋体" w:cs="宋体"/>
          <w:sz w:val="24"/>
          <w:highlight w:val="none"/>
        </w:rPr>
        <w:t>电机：伺服式可逆电机，F 级绝缘。平均负荷不能小于阀门最大驱动力的50%。电机的工作制：间歇启动。电机应动态平衡。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电源：380V、3AC、50Hz。</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电动执行机构具有完全非侵入式设计,应结构简单，性能可靠，便于调试、维护和维修。具有锤击功能、自锁式的输出，即使在手动模式下仍保持自锁。电动头多腔独立密封。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如是调节型，其执行机构应能接受来自远方的4～20mADC模拟信号或开关信号（无源干接点）。不管采用那种输入信号，都应确保电动执行机构和自动调节系统的接口协调。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采用电动执行器+减速箱的控制结构形式，电动执行机构和减速箱必须是同一牌子。</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防护等级：必须达到IP68的防护等级要求。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密封：应采用先进的双密封结构，保证即使在现场接线时，执行器内部不受外部环境影响。</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外壳材质：电机及机械传动部分为优质铝合金LM20（ASTMA316）</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防腐：整体喷涂环氧聚氨酯，有效防腐防霉。</w:t>
      </w:r>
    </w:p>
    <w:p>
      <w:pPr>
        <w:pStyle w:val="17"/>
        <w:snapToGrid w:val="0"/>
        <w:spacing w:before="63" w:beforeLines="20" w:after="63" w:afterLines="20" w:line="360" w:lineRule="auto"/>
        <w:ind w:firstLine="482"/>
        <w:rPr>
          <w:rFonts w:ascii="宋体" w:hAnsi="宋体" w:cs="宋体"/>
          <w:b/>
          <w:bCs/>
          <w:sz w:val="24"/>
          <w:highlight w:val="none"/>
        </w:rPr>
      </w:pPr>
      <w:r>
        <w:rPr>
          <w:rFonts w:hint="eastAsia" w:ascii="宋体" w:hAnsi="宋体" w:cs="宋体"/>
          <w:b/>
          <w:bCs/>
          <w:sz w:val="24"/>
          <w:highlight w:val="none"/>
        </w:rPr>
        <w:t>B、主体结构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主要部件应包括，电动机、力矩限制机构/行程控制机构、 带背景照明的液晶显示窗口、手-电动切换机构、手轮及电气控制单元部分等。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（2）电动执行机构的阀位测量及控制采用非接触式霍尔元件，能够准确测量阀位和控制阀门行程，不得采用模拟电位器；阀位显示为数字量连续指示，开度递增量为1%。</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（3）手-电动切换机构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电动执行机构应配有手/自动切换机构，该机构不得与电机输出轴直接相连，确保在低速安全的状态下进行切换；并配有离合装置，在电动操作时手轮不会随时转动。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（4）开度指示机构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电动执行机构带有背景照明系统液晶显示屏，通过简明的数字、字母及符号显示执行机构状态及故障信息，应为中文菜单，方便人员操作，自带9V电池，在现场断电的情况下仍能显示阀门的状态。开度指示应为1%~99%数字量递增。</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（5）控制单元部分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电气部分应采用机电一体化控制单元与电动执行器组合到一起，模块化结构。控制单元包括现场操作按钮、指示灯、带锁的选择开关，液晶显示等。阀门的所有设定、操作及调试都可以通过非接触式调节方式完成。</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电动执行机构应含有内置的控制单元、数据记录器，具有记忆功能，可记录阀门及执行机构的运行情况及设备信息。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电动执行机构需具有可靠完善的保护功能：过力矩保护、综合报警、全开全关报警，其中电机的力矩需通过数字式压力传感器准确测量。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通过现场控面板可以进行“远方-停机-现场” 的转换，并且有“开 - 关” 现场操作和全开、全关位置到位指示灯及故障指示灯。控制单元中包括电子计时器，启动和结束步进模式，对于开方向操作和关方向操作的时间分别编程设定。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可通过具有红外功能的手操器进行设定，不需要打开机壳，通过手操器就可对电动执行机构进行参数整定和就地操作。且该手操器应具体数据下载功能，可将下载数据上传至PC机或PDA等掌上电脑进行数据分析。</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所有设备部件出厂前应由承包商清扫干净，并根据设备部件的特点分别采取防护措施。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设备表面涂漆层附着牢固、平整、光滑、色泽均匀，无油污压痕和其他机械损伤。涂底漆前的表面处理应符合相应的涂料工艺要求。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（6）电动执行机构应采用至少4个无源、非接触式触点，并且可在现场通过非侵入式设计设定任意组态自定义所有触点的功能特性，以满足和匹配自控系统的要求。</w:t>
      </w:r>
    </w:p>
    <w:p>
      <w:pPr>
        <w:spacing w:line="360" w:lineRule="auto"/>
        <w:ind w:firstLine="480" w:firstLineChars="200"/>
        <w:rPr>
          <w:rFonts w:ascii="宋体" w:hAnsi="宋体" w:cs="宋体"/>
          <w:sz w:val="24"/>
          <w:highlight w:val="none"/>
        </w:rPr>
      </w:pPr>
    </w:p>
    <w:p>
      <w:pPr>
        <w:pStyle w:val="7"/>
        <w:spacing w:line="360" w:lineRule="auto"/>
        <w:rPr>
          <w:rStyle w:val="38"/>
          <w:rFonts w:ascii="宋体" w:hAnsi="宋体" w:cs="宋体"/>
          <w:b w:val="0"/>
          <w:bCs/>
          <w:sz w:val="24"/>
          <w:szCs w:val="24"/>
          <w:highlight w:val="none"/>
        </w:rPr>
      </w:pPr>
      <w:bookmarkStart w:id="154" w:name="_Toc40254129"/>
      <w:r>
        <w:rPr>
          <w:rStyle w:val="38"/>
          <w:rFonts w:hint="eastAsia" w:ascii="宋体" w:hAnsi="宋体" w:cs="宋体"/>
          <w:b w:val="0"/>
          <w:bCs/>
          <w:sz w:val="24"/>
          <w:szCs w:val="24"/>
          <w:highlight w:val="none"/>
        </w:rPr>
        <w:t>3.5潜水泵特殊技术要求</w:t>
      </w:r>
      <w:bookmarkEnd w:id="154"/>
    </w:p>
    <w:p>
      <w:pPr>
        <w:spacing w:line="360" w:lineRule="auto"/>
        <w:ind w:firstLine="512"/>
        <w:rPr>
          <w:rFonts w:ascii="宋体" w:hAnsi="宋体" w:cs="宋体"/>
          <w:b/>
          <w:spacing w:val="8"/>
          <w:sz w:val="24"/>
          <w:highlight w:val="none"/>
        </w:rPr>
      </w:pPr>
      <w:r>
        <w:rPr>
          <w:rFonts w:hint="eastAsia" w:ascii="宋体" w:hAnsi="宋体" w:cs="宋体"/>
          <w:b/>
          <w:spacing w:val="8"/>
          <w:sz w:val="24"/>
          <w:highlight w:val="none"/>
        </w:rPr>
        <w:t>承包商提供的潜水泵应为成套装置（其中变频控制的需包括变频器），并需配备现场接线按钮箱、水泵综合保护器、耦合用导向杆或导向索、90°出水弯座、提升链、水下电缆（长度15m）、电缆固定夹、基础螺栓等有效和安全运行所必需的附件。</w:t>
      </w:r>
    </w:p>
    <w:p>
      <w:pPr>
        <w:spacing w:line="360" w:lineRule="auto"/>
        <w:rPr>
          <w:rFonts w:ascii="宋体" w:hAnsi="宋体" w:cs="宋体"/>
          <w:sz w:val="24"/>
          <w:highlight w:val="none"/>
        </w:rPr>
      </w:pPr>
      <w:r>
        <w:rPr>
          <w:rFonts w:hint="eastAsia" w:ascii="宋体" w:hAnsi="宋体" w:cs="宋体"/>
          <w:sz w:val="24"/>
          <w:highlight w:val="none"/>
        </w:rPr>
        <w:t xml:space="preserve"> (1)  资料提交</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投标人在投标文件中必须提交以下资料(但不限于此)：</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a. 泵装置的总体布置图，泵结构总装图，详细的技术规格，泵特性曲线（流量、扬程、效率、功率、NPSHr以及不产生涡流旋入的泵体最低浸水水位）、带变频设备还应提供各频率调速下（50％～100％的转速范围内每隔10％变化）的特性曲线、电机特性、抗堵塞叶轮的结构介绍、主要零件材料、保护设施和涂层等详细的投标说明，以及设备的外形尺寸和安装、维修运行所需的空间要求，提供水泵电缆及提升链的固定方案、预埋件和预留孔的要求。</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b. 土建荷载</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c. ISO9000质量管理体系认证</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d. 电气控制原理图以及接线图</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e. 产品样本</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f. 备件表</w:t>
      </w:r>
    </w:p>
    <w:p>
      <w:pPr>
        <w:spacing w:line="360" w:lineRule="auto"/>
        <w:rPr>
          <w:rFonts w:ascii="宋体" w:hAnsi="宋体" w:cs="宋体"/>
          <w:sz w:val="24"/>
          <w:highlight w:val="none"/>
        </w:rPr>
      </w:pPr>
      <w:r>
        <w:rPr>
          <w:rFonts w:hint="eastAsia" w:ascii="宋体" w:hAnsi="宋体" w:cs="宋体"/>
          <w:sz w:val="24"/>
          <w:highlight w:val="none"/>
        </w:rPr>
        <w:t>(2)  设计</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a. 泵的试验规程应以ISO9906（2级）为准。</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b. Q=37m3/h，H=13m N=3kW</w:t>
      </w:r>
      <w:r>
        <w:rPr>
          <w:rFonts w:hint="eastAsia" w:ascii="宋体" w:hAnsi="宋体" w:cs="宋体"/>
          <w:spacing w:val="8"/>
          <w:sz w:val="24"/>
          <w:highlight w:val="none"/>
        </w:rPr>
        <w:cr/>
      </w:r>
    </w:p>
    <w:p>
      <w:pPr>
        <w:spacing w:line="360" w:lineRule="auto"/>
        <w:rPr>
          <w:rFonts w:ascii="宋体" w:hAnsi="宋体" w:cs="宋体"/>
          <w:sz w:val="24"/>
          <w:highlight w:val="none"/>
        </w:rPr>
      </w:pPr>
      <w:r>
        <w:rPr>
          <w:rFonts w:hint="eastAsia" w:ascii="宋体" w:hAnsi="宋体" w:cs="宋体"/>
          <w:sz w:val="24"/>
          <w:highlight w:val="none"/>
        </w:rPr>
        <w:t xml:space="preserve"> (3)  性能和结构</w:t>
      </w:r>
    </w:p>
    <w:p>
      <w:pPr>
        <w:spacing w:line="360" w:lineRule="auto"/>
        <w:ind w:firstLine="512"/>
        <w:rPr>
          <w:rFonts w:ascii="宋体" w:hAnsi="宋体" w:cs="宋体"/>
          <w:b/>
          <w:spacing w:val="8"/>
          <w:sz w:val="24"/>
          <w:highlight w:val="none"/>
        </w:rPr>
      </w:pPr>
      <w:r>
        <w:rPr>
          <w:rFonts w:hint="eastAsia" w:ascii="宋体" w:hAnsi="宋体" w:cs="宋体"/>
          <w:b/>
          <w:spacing w:val="8"/>
          <w:sz w:val="24"/>
          <w:highlight w:val="none"/>
        </w:rPr>
        <w:t>a.叶轮</w:t>
      </w:r>
    </w:p>
    <w:p>
      <w:pPr>
        <w:spacing w:line="360" w:lineRule="auto"/>
        <w:ind w:firstLine="512"/>
        <w:rPr>
          <w:rFonts w:ascii="宋体" w:hAnsi="宋体" w:cs="宋体"/>
          <w:b/>
          <w:spacing w:val="8"/>
          <w:sz w:val="24"/>
          <w:highlight w:val="none"/>
        </w:rPr>
      </w:pPr>
      <w:r>
        <w:rPr>
          <w:rFonts w:hint="eastAsia" w:ascii="宋体" w:hAnsi="宋体" w:cs="宋体"/>
          <w:b/>
          <w:spacing w:val="8"/>
          <w:sz w:val="24"/>
          <w:highlight w:val="none"/>
        </w:rPr>
        <w:t>潜水离心泵叶轮应为离心式防堵叶轮，确保叶轮在输送常规的市政水时不会产生堵塞。</w:t>
      </w:r>
    </w:p>
    <w:p>
      <w:pPr>
        <w:spacing w:line="360" w:lineRule="auto"/>
        <w:ind w:firstLine="512"/>
        <w:rPr>
          <w:rFonts w:ascii="宋体" w:hAnsi="宋体" w:cs="宋体"/>
          <w:b/>
          <w:spacing w:val="8"/>
          <w:sz w:val="24"/>
          <w:highlight w:val="none"/>
        </w:rPr>
      </w:pPr>
      <w:r>
        <w:rPr>
          <w:rFonts w:hint="eastAsia" w:ascii="宋体" w:hAnsi="宋体" w:cs="宋体"/>
          <w:b/>
          <w:spacing w:val="8"/>
          <w:sz w:val="24"/>
          <w:highlight w:val="none"/>
        </w:rPr>
        <w:t>叶轮应进行动平衡，动平衡精度应不低于G6.3级。振动烈度不大于0.45mm/s。</w:t>
      </w:r>
    </w:p>
    <w:p>
      <w:pPr>
        <w:spacing w:line="360" w:lineRule="auto"/>
        <w:ind w:firstLine="480"/>
        <w:rPr>
          <w:rFonts w:ascii="宋体" w:hAnsi="宋体" w:cs="宋体"/>
          <w:b/>
          <w:spacing w:val="8"/>
          <w:sz w:val="24"/>
          <w:highlight w:val="none"/>
        </w:rPr>
      </w:pPr>
      <w:r>
        <w:rPr>
          <w:rFonts w:hint="eastAsia" w:ascii="宋体" w:hAnsi="宋体" w:cs="宋体"/>
          <w:b/>
          <w:spacing w:val="8"/>
          <w:sz w:val="24"/>
          <w:highlight w:val="none"/>
        </w:rPr>
        <w:t>b.电机</w:t>
      </w:r>
    </w:p>
    <w:p>
      <w:pPr>
        <w:spacing w:line="360" w:lineRule="auto"/>
        <w:ind w:firstLine="512"/>
        <w:rPr>
          <w:rFonts w:ascii="宋体" w:hAnsi="宋体" w:cs="宋体"/>
          <w:b/>
          <w:spacing w:val="8"/>
          <w:sz w:val="24"/>
          <w:highlight w:val="none"/>
        </w:rPr>
      </w:pPr>
      <w:r>
        <w:rPr>
          <w:rFonts w:hint="eastAsia" w:ascii="宋体" w:hAnsi="宋体" w:cs="宋体"/>
          <w:b/>
          <w:spacing w:val="8"/>
          <w:sz w:val="24"/>
          <w:highlight w:val="none"/>
        </w:rPr>
        <w:t>电机应为三相鼠笼电机，3相、380V、50Hz，防护等级IP68，绝缘等级F或更好。电机的配置应保证在H-Q曲线上任一点工作时，都不会出现过载。电机能每小时启动可达20次。能连接泵送温度最高为40℃的介质，并且定子绕组的平均温升不超过80℃。电机启动电流不超过额定电流的6倍，功率因数应&gt;0.80。电机容量应按水泵运行可能出现的最大轴功率与传动装置效率配置，并按有关规范留有10％以上的储备系数。</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c.轴封</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采用两个上下双重独立的高质量机械密封系统，可以顺时针或逆时针转动，而不会带来不良后果。机械密封均采用耐腐蚀烧结碳化钨或碳化硅，介质酸碱度范围为pH5～10。</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机械密封应该是免维护的，润滑与被输送液体相隔开，应能抵抗热冲击，并具有良好紧急运行的特点。</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制造厂应保证机械密封的使用寿命不低于25000小时。</w:t>
      </w:r>
    </w:p>
    <w:p>
      <w:pPr>
        <w:spacing w:line="360" w:lineRule="auto"/>
        <w:ind w:firstLine="512" w:firstLineChars="200"/>
        <w:rPr>
          <w:rFonts w:ascii="宋体" w:hAnsi="宋体" w:cs="宋体"/>
          <w:spacing w:val="8"/>
          <w:sz w:val="24"/>
          <w:highlight w:val="none"/>
        </w:rPr>
      </w:pPr>
      <w:r>
        <w:rPr>
          <w:rFonts w:hint="eastAsia" w:ascii="宋体" w:hAnsi="宋体" w:cs="宋体"/>
          <w:spacing w:val="8"/>
          <w:sz w:val="24"/>
          <w:highlight w:val="none"/>
        </w:rPr>
        <w:t>d. 轴承</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应采用高质量的终身润滑轴承，轴承额定工作寿命（L10）应大于100000小时。</w:t>
      </w:r>
    </w:p>
    <w:p>
      <w:pPr>
        <w:spacing w:line="360" w:lineRule="auto"/>
        <w:ind w:firstLine="512"/>
        <w:rPr>
          <w:rFonts w:ascii="宋体" w:hAnsi="宋体" w:cs="宋体"/>
          <w:b/>
          <w:spacing w:val="8"/>
          <w:sz w:val="24"/>
          <w:highlight w:val="none"/>
        </w:rPr>
      </w:pPr>
      <w:r>
        <w:rPr>
          <w:rFonts w:hint="eastAsia" w:ascii="宋体" w:hAnsi="宋体" w:cs="宋体"/>
          <w:b/>
          <w:spacing w:val="8"/>
          <w:sz w:val="24"/>
          <w:highlight w:val="none"/>
        </w:rPr>
        <w:t>e. 电缆和电缆密封</w:t>
      </w:r>
    </w:p>
    <w:p>
      <w:pPr>
        <w:spacing w:line="360" w:lineRule="auto"/>
        <w:ind w:firstLine="514" w:firstLineChars="200"/>
        <w:rPr>
          <w:rFonts w:ascii="宋体" w:hAnsi="宋体" w:cs="宋体"/>
          <w:b/>
          <w:spacing w:val="8"/>
          <w:sz w:val="24"/>
          <w:highlight w:val="none"/>
        </w:rPr>
      </w:pPr>
      <w:r>
        <w:rPr>
          <w:rFonts w:hint="eastAsia" w:ascii="宋体" w:hAnsi="宋体" w:cs="宋体"/>
          <w:b/>
          <w:spacing w:val="8"/>
          <w:sz w:val="24"/>
          <w:highlight w:val="none"/>
        </w:rPr>
        <w:t>电机应配有用于控制和动力水下电缆，电缆应伸进接线室，每根电缆都有一个单独的进口，并进行可靠的橡胶件密封形式。</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f. 热保护</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电机的每一项均由常闭型温度传感器保护，三个热敏开关应串联连接，这些传感器都应在摄氏在≤95゜C时常闭，在140゜C时跳开。可以与电机过载保护相连接，并接至控制柜，与控制柜连接。</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为了指示轴承的磨损，在上、下轴承处各设有PT100常闭型温度传感器，在主轴或电机的其他部件出现严重损坏前温度传感器应该断开。</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g . 磨损环</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磨损环系统应能保证蜗壳和叶轮吸口之间的有效的间隙性，如采用叶轮间隙可调的形式，则可不设磨损环，叶轮间隙调节时以轴向调节为准，并在泵的外部调节和测量。</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h . 潜水泵出水法兰与出水弯座为重力自动无刮擦性耦合，应密封可靠。</w:t>
      </w:r>
    </w:p>
    <w:p>
      <w:pPr>
        <w:spacing w:line="360" w:lineRule="auto"/>
        <w:ind w:firstLine="480"/>
        <w:rPr>
          <w:rFonts w:ascii="宋体" w:hAnsi="宋体" w:cs="宋体"/>
          <w:spacing w:val="8"/>
          <w:sz w:val="24"/>
          <w:highlight w:val="none"/>
        </w:rPr>
      </w:pPr>
      <w:r>
        <w:rPr>
          <w:rFonts w:hint="eastAsia" w:ascii="宋体" w:hAnsi="宋体" w:cs="宋体"/>
          <w:spacing w:val="8"/>
          <w:sz w:val="24"/>
          <w:highlight w:val="none"/>
        </w:rPr>
        <w:t>(4) 主要材质</w:t>
      </w:r>
    </w:p>
    <w:p>
      <w:pPr>
        <w:spacing w:line="360" w:lineRule="auto"/>
        <w:ind w:firstLine="512"/>
        <w:rPr>
          <w:rFonts w:ascii="宋体" w:hAnsi="宋体" w:cs="宋体"/>
          <w:spacing w:val="8"/>
          <w:sz w:val="24"/>
          <w:highlight w:val="none"/>
        </w:rPr>
      </w:pPr>
      <w:bookmarkStart w:id="155" w:name="_Toc119232330"/>
      <w:bookmarkStart w:id="156" w:name="_Toc119232465"/>
      <w:r>
        <w:rPr>
          <w:rFonts w:hint="eastAsia" w:ascii="宋体" w:hAnsi="宋体" w:cs="宋体"/>
          <w:spacing w:val="8"/>
          <w:sz w:val="24"/>
          <w:highlight w:val="none"/>
        </w:rPr>
        <w:t>叶轮             铸铁</w:t>
      </w:r>
      <w:bookmarkEnd w:id="155"/>
      <w:bookmarkEnd w:id="156"/>
      <w:r>
        <w:rPr>
          <w:rFonts w:hint="eastAsia" w:ascii="宋体" w:hAnsi="宋体" w:cs="宋体"/>
          <w:spacing w:val="8"/>
          <w:sz w:val="24"/>
          <w:highlight w:val="none"/>
        </w:rPr>
        <w:t>GG25或球墨铸铁或以上</w:t>
      </w:r>
    </w:p>
    <w:p>
      <w:pPr>
        <w:spacing w:line="360" w:lineRule="auto"/>
        <w:ind w:firstLine="512"/>
        <w:rPr>
          <w:rFonts w:ascii="宋体" w:hAnsi="宋体" w:cs="宋体"/>
          <w:spacing w:val="8"/>
          <w:sz w:val="24"/>
          <w:highlight w:val="none"/>
        </w:rPr>
      </w:pPr>
      <w:bookmarkStart w:id="157" w:name="_Toc119232331"/>
      <w:bookmarkStart w:id="158" w:name="_Toc119232466"/>
      <w:r>
        <w:rPr>
          <w:rFonts w:hint="eastAsia" w:ascii="宋体" w:hAnsi="宋体" w:cs="宋体"/>
          <w:spacing w:val="8"/>
          <w:sz w:val="24"/>
          <w:highlight w:val="none"/>
        </w:rPr>
        <w:t xml:space="preserve">泵、电机壳体    </w:t>
      </w:r>
      <w:bookmarkEnd w:id="157"/>
      <w:bookmarkEnd w:id="158"/>
      <w:r>
        <w:rPr>
          <w:rFonts w:hint="eastAsia" w:ascii="宋体" w:hAnsi="宋体" w:cs="宋体"/>
          <w:spacing w:val="8"/>
          <w:sz w:val="24"/>
          <w:highlight w:val="none"/>
        </w:rPr>
        <w:t xml:space="preserve">  铸铁GG25</w:t>
      </w:r>
    </w:p>
    <w:p>
      <w:pPr>
        <w:spacing w:line="360" w:lineRule="auto"/>
        <w:ind w:firstLine="512"/>
        <w:rPr>
          <w:rFonts w:ascii="宋体" w:hAnsi="宋体" w:cs="宋体"/>
          <w:spacing w:val="8"/>
          <w:sz w:val="24"/>
          <w:highlight w:val="none"/>
        </w:rPr>
      </w:pPr>
      <w:bookmarkStart w:id="159" w:name="_Toc119232332"/>
      <w:bookmarkStart w:id="160" w:name="_Toc119232467"/>
      <w:r>
        <w:rPr>
          <w:rFonts w:hint="eastAsia" w:ascii="宋体" w:hAnsi="宋体" w:cs="宋体"/>
          <w:spacing w:val="8"/>
          <w:sz w:val="24"/>
          <w:highlight w:val="none"/>
        </w:rPr>
        <w:t>主轴             不锈钢</w:t>
      </w:r>
      <w:bookmarkEnd w:id="159"/>
      <w:bookmarkEnd w:id="160"/>
      <w:r>
        <w:rPr>
          <w:rFonts w:hint="eastAsia" w:ascii="宋体" w:hAnsi="宋体" w:cs="宋体"/>
          <w:spacing w:val="8"/>
          <w:sz w:val="24"/>
          <w:highlight w:val="none"/>
        </w:rPr>
        <w:t>431或高强度碳钢ASTM A-572或不锈钢420</w:t>
      </w:r>
    </w:p>
    <w:p>
      <w:pPr>
        <w:spacing w:line="360" w:lineRule="auto"/>
        <w:ind w:firstLine="512"/>
        <w:rPr>
          <w:rFonts w:ascii="宋体" w:hAnsi="宋体" w:cs="宋体"/>
          <w:spacing w:val="8"/>
          <w:sz w:val="24"/>
          <w:highlight w:val="none"/>
        </w:rPr>
      </w:pPr>
      <w:bookmarkStart w:id="161" w:name="_Toc119232468"/>
      <w:bookmarkStart w:id="162" w:name="_Toc119232333"/>
      <w:r>
        <w:rPr>
          <w:rFonts w:hint="eastAsia" w:ascii="宋体" w:hAnsi="宋体" w:cs="宋体"/>
          <w:spacing w:val="8"/>
          <w:sz w:val="24"/>
          <w:highlight w:val="none"/>
        </w:rPr>
        <w:t>导轨             不锈钢</w:t>
      </w:r>
      <w:bookmarkEnd w:id="161"/>
      <w:bookmarkEnd w:id="162"/>
      <w:r>
        <w:rPr>
          <w:rFonts w:hint="eastAsia" w:ascii="宋体" w:hAnsi="宋体" w:cs="宋体"/>
          <w:spacing w:val="8"/>
          <w:sz w:val="24"/>
          <w:highlight w:val="none"/>
        </w:rPr>
        <w:t>304</w:t>
      </w:r>
    </w:p>
    <w:p>
      <w:pPr>
        <w:spacing w:line="360" w:lineRule="auto"/>
        <w:ind w:firstLine="512"/>
        <w:rPr>
          <w:rFonts w:ascii="宋体" w:hAnsi="宋体" w:cs="宋体"/>
          <w:spacing w:val="8"/>
          <w:sz w:val="24"/>
          <w:highlight w:val="none"/>
        </w:rPr>
      </w:pPr>
      <w:bookmarkStart w:id="163" w:name="_Toc119232470"/>
      <w:bookmarkStart w:id="164" w:name="_Toc119232335"/>
      <w:r>
        <w:rPr>
          <w:rFonts w:hint="eastAsia" w:ascii="宋体" w:hAnsi="宋体" w:cs="宋体"/>
          <w:spacing w:val="8"/>
          <w:sz w:val="24"/>
          <w:highlight w:val="none"/>
        </w:rPr>
        <w:t>机械密封</w:t>
      </w:r>
      <w:r>
        <w:rPr>
          <w:rFonts w:hint="eastAsia" w:ascii="宋体" w:hAnsi="宋体" w:cs="宋体"/>
          <w:spacing w:val="8"/>
          <w:sz w:val="24"/>
          <w:highlight w:val="none"/>
        </w:rPr>
        <w:tab/>
      </w:r>
      <w:r>
        <w:rPr>
          <w:rFonts w:hint="eastAsia" w:ascii="宋体" w:hAnsi="宋体" w:cs="宋体"/>
          <w:spacing w:val="8"/>
          <w:sz w:val="24"/>
          <w:highlight w:val="none"/>
        </w:rPr>
        <w:tab/>
      </w:r>
      <w:r>
        <w:rPr>
          <w:rFonts w:hint="eastAsia" w:ascii="宋体" w:hAnsi="宋体" w:cs="宋体"/>
          <w:spacing w:val="8"/>
          <w:sz w:val="24"/>
          <w:highlight w:val="none"/>
        </w:rPr>
        <w:tab/>
      </w:r>
      <w:r>
        <w:rPr>
          <w:rFonts w:hint="eastAsia" w:ascii="宋体" w:hAnsi="宋体" w:cs="宋体"/>
          <w:spacing w:val="8"/>
          <w:sz w:val="24"/>
          <w:highlight w:val="none"/>
        </w:rPr>
        <w:t xml:space="preserve">  烧结碳化钨</w:t>
      </w:r>
      <w:bookmarkEnd w:id="163"/>
      <w:bookmarkEnd w:id="164"/>
      <w:r>
        <w:rPr>
          <w:rFonts w:hint="eastAsia" w:ascii="宋体" w:hAnsi="宋体" w:cs="宋体"/>
          <w:spacing w:val="8"/>
          <w:sz w:val="24"/>
          <w:highlight w:val="none"/>
        </w:rPr>
        <w:t>或碳化硅</w:t>
      </w:r>
    </w:p>
    <w:p>
      <w:pPr>
        <w:spacing w:line="360" w:lineRule="auto"/>
        <w:ind w:firstLine="512"/>
        <w:rPr>
          <w:rFonts w:ascii="宋体" w:hAnsi="宋体" w:cs="宋体"/>
          <w:spacing w:val="8"/>
          <w:sz w:val="24"/>
          <w:highlight w:val="none"/>
        </w:rPr>
      </w:pPr>
      <w:bookmarkStart w:id="165" w:name="_Toc119232471"/>
      <w:bookmarkStart w:id="166" w:name="_Toc119232336"/>
      <w:r>
        <w:rPr>
          <w:rFonts w:hint="eastAsia" w:ascii="宋体" w:hAnsi="宋体" w:cs="宋体"/>
          <w:spacing w:val="8"/>
          <w:sz w:val="24"/>
          <w:highlight w:val="none"/>
        </w:rPr>
        <w:t>与介质接触紧固件  不锈钢</w:t>
      </w:r>
      <w:bookmarkEnd w:id="165"/>
      <w:bookmarkEnd w:id="166"/>
      <w:r>
        <w:rPr>
          <w:rFonts w:hint="eastAsia" w:ascii="宋体" w:hAnsi="宋体" w:cs="宋体"/>
          <w:spacing w:val="8"/>
          <w:sz w:val="24"/>
          <w:highlight w:val="none"/>
        </w:rPr>
        <w:t>316</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(5) 防腐处理</w:t>
      </w:r>
    </w:p>
    <w:p>
      <w:pPr>
        <w:pStyle w:val="20"/>
        <w:spacing w:line="360" w:lineRule="auto"/>
        <w:ind w:firstLine="480" w:firstLineChars="200"/>
        <w:rPr>
          <w:rFonts w:ascii="宋体" w:hAnsi="宋体" w:cs="宋体"/>
          <w:sz w:val="24"/>
          <w:highlight w:val="none"/>
        </w:rPr>
      </w:pPr>
      <w:r>
        <w:rPr>
          <w:rFonts w:hint="eastAsia" w:ascii="宋体" w:hAnsi="宋体" w:cs="宋体"/>
          <w:sz w:val="24"/>
          <w:highlight w:val="none"/>
        </w:rPr>
        <w:t>制造水泵的全部材料应适用于水厂的环境，对未经保护或非防腐性材料，应按行业标准进行除锈处理和涂防锈漆。</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(6) 安装和检验</w:t>
      </w:r>
    </w:p>
    <w:p>
      <w:pPr>
        <w:spacing w:line="360" w:lineRule="auto"/>
        <w:ind w:left="600"/>
        <w:rPr>
          <w:rFonts w:ascii="宋体" w:hAnsi="宋体" w:cs="宋体"/>
          <w:spacing w:val="8"/>
          <w:sz w:val="24"/>
          <w:highlight w:val="none"/>
        </w:rPr>
      </w:pPr>
      <w:r>
        <w:rPr>
          <w:rFonts w:hint="eastAsia" w:ascii="宋体" w:hAnsi="宋体" w:cs="宋体"/>
          <w:spacing w:val="8"/>
          <w:sz w:val="24"/>
          <w:highlight w:val="none"/>
        </w:rPr>
        <w:t>a参考标准</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 xml:space="preserve">ISO9906（2级） </w:t>
      </w:r>
      <w:r>
        <w:rPr>
          <w:rFonts w:hint="eastAsia" w:ascii="宋体" w:hAnsi="宋体" w:cs="宋体"/>
          <w:spacing w:val="8"/>
          <w:sz w:val="24"/>
          <w:highlight w:val="none"/>
        </w:rPr>
        <w:tab/>
      </w:r>
      <w:r>
        <w:rPr>
          <w:rFonts w:hint="eastAsia" w:ascii="宋体" w:hAnsi="宋体" w:cs="宋体"/>
          <w:spacing w:val="8"/>
          <w:sz w:val="24"/>
          <w:highlight w:val="none"/>
        </w:rPr>
        <w:t>泵验收试验规程</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 xml:space="preserve">GB50275-98   </w:t>
      </w:r>
      <w:r>
        <w:rPr>
          <w:rFonts w:hint="eastAsia" w:ascii="宋体" w:hAnsi="宋体" w:cs="宋体"/>
          <w:spacing w:val="8"/>
          <w:sz w:val="24"/>
          <w:highlight w:val="none"/>
        </w:rPr>
        <w:tab/>
      </w:r>
      <w:r>
        <w:rPr>
          <w:rFonts w:hint="eastAsia" w:ascii="宋体" w:hAnsi="宋体" w:cs="宋体"/>
          <w:spacing w:val="8"/>
          <w:sz w:val="24"/>
          <w:highlight w:val="none"/>
        </w:rPr>
        <w:t>泵安装工程施工及验收规范</w:t>
      </w:r>
    </w:p>
    <w:p>
      <w:pPr>
        <w:spacing w:line="360" w:lineRule="auto"/>
        <w:ind w:firstLine="512"/>
        <w:rPr>
          <w:rFonts w:ascii="宋体" w:hAnsi="宋体" w:cs="宋体"/>
          <w:spacing w:val="8"/>
          <w:sz w:val="24"/>
          <w:highlight w:val="none"/>
        </w:rPr>
      </w:pPr>
      <w:r>
        <w:rPr>
          <w:rFonts w:hint="eastAsia" w:ascii="宋体" w:hAnsi="宋体" w:cs="宋体"/>
          <w:spacing w:val="8"/>
          <w:sz w:val="24"/>
          <w:highlight w:val="none"/>
        </w:rPr>
        <w:t xml:space="preserve">制造厂       </w:t>
      </w:r>
      <w:r>
        <w:rPr>
          <w:rFonts w:hint="eastAsia" w:ascii="宋体" w:hAnsi="宋体" w:cs="宋体"/>
          <w:spacing w:val="8"/>
          <w:sz w:val="24"/>
          <w:highlight w:val="none"/>
        </w:rPr>
        <w:tab/>
      </w:r>
      <w:r>
        <w:rPr>
          <w:rFonts w:hint="eastAsia" w:ascii="宋体" w:hAnsi="宋体" w:cs="宋体"/>
          <w:spacing w:val="8"/>
          <w:sz w:val="24"/>
          <w:highlight w:val="none"/>
        </w:rPr>
        <w:t>潜水泵安装维修手册</w:t>
      </w:r>
    </w:p>
    <w:p>
      <w:pPr>
        <w:numPr>
          <w:ilvl w:val="0"/>
          <w:numId w:val="19"/>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现场条件</w:t>
      </w:r>
    </w:p>
    <w:p>
      <w:pPr>
        <w:numPr>
          <w:ilvl w:val="0"/>
          <w:numId w:val="20"/>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承包商应遵照标书图纸及对应土建工程的标高、位置，进行上述潜水泵装置的安装。</w:t>
      </w:r>
    </w:p>
    <w:p>
      <w:pPr>
        <w:numPr>
          <w:ilvl w:val="0"/>
          <w:numId w:val="20"/>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承包商在上述设备安装前，应对建成构筑物的相关土建尺寸，进行核对，并提出详细记录，对不符合安装条件的部分，应向项目监理报告，经批准及修正后，方可安装。</w:t>
      </w:r>
    </w:p>
    <w:p>
      <w:pPr>
        <w:numPr>
          <w:ilvl w:val="0"/>
          <w:numId w:val="19"/>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设备结构要素</w:t>
      </w:r>
    </w:p>
    <w:p>
      <w:pPr>
        <w:numPr>
          <w:ilvl w:val="0"/>
          <w:numId w:val="21"/>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潜水泵应采用整机安装，通过葫芦、吊链沿导杆下降，应能与出水管弯座自动耦合，耦合面不得泄漏。</w:t>
      </w:r>
    </w:p>
    <w:p>
      <w:pPr>
        <w:numPr>
          <w:ilvl w:val="0"/>
          <w:numId w:val="21"/>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潜水泵装置的安装顺序应按制造厂安装手册为准。</w:t>
      </w:r>
    </w:p>
    <w:p>
      <w:pPr>
        <w:numPr>
          <w:ilvl w:val="0"/>
          <w:numId w:val="21"/>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在安装前，制造厂为防止部位损坏而包装的防护粘贴，不得提前撕离。</w:t>
      </w:r>
    </w:p>
    <w:p>
      <w:pPr>
        <w:numPr>
          <w:ilvl w:val="0"/>
          <w:numId w:val="19"/>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与土建工程分界面</w:t>
      </w:r>
    </w:p>
    <w:p>
      <w:pPr>
        <w:numPr>
          <w:ilvl w:val="0"/>
          <w:numId w:val="22"/>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潜水泵安装用地脚螺栓预留孔及预埋件均属土建工程。</w:t>
      </w:r>
    </w:p>
    <w:p>
      <w:pPr>
        <w:numPr>
          <w:ilvl w:val="0"/>
          <w:numId w:val="22"/>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二次灌浆属本设计安装工程的范围。</w:t>
      </w:r>
    </w:p>
    <w:p>
      <w:pPr>
        <w:numPr>
          <w:ilvl w:val="0"/>
          <w:numId w:val="22"/>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设备固定用地脚螺栓为供货商的随机附件。</w:t>
      </w:r>
    </w:p>
    <w:p>
      <w:pPr>
        <w:numPr>
          <w:ilvl w:val="0"/>
          <w:numId w:val="19"/>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现场检验和调试</w:t>
      </w:r>
    </w:p>
    <w:p>
      <w:pPr>
        <w:numPr>
          <w:ilvl w:val="0"/>
          <w:numId w:val="23"/>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潜水泵安装后，承包商应按技术指标进行检验，并符合设计要求。</w:t>
      </w:r>
    </w:p>
    <w:p>
      <w:pPr>
        <w:numPr>
          <w:ilvl w:val="0"/>
          <w:numId w:val="23"/>
        </w:numPr>
        <w:spacing w:line="360" w:lineRule="auto"/>
        <w:ind w:left="0" w:firstLine="512"/>
        <w:rPr>
          <w:rFonts w:ascii="宋体" w:hAnsi="宋体" w:cs="宋体"/>
          <w:spacing w:val="8"/>
          <w:sz w:val="24"/>
          <w:highlight w:val="none"/>
        </w:rPr>
      </w:pPr>
      <w:r>
        <w:rPr>
          <w:rFonts w:hint="eastAsia" w:ascii="宋体" w:hAnsi="宋体" w:cs="宋体"/>
          <w:spacing w:val="8"/>
          <w:sz w:val="24"/>
          <w:highlight w:val="none"/>
        </w:rPr>
        <w:t>带负荷运转24小时（根据进水池的水位确定运行时间），检测其流量、扬程及效率是否符合设计要求。</w:t>
      </w:r>
    </w:p>
    <w:p>
      <w:pPr>
        <w:numPr>
          <w:ilvl w:val="0"/>
          <w:numId w:val="23"/>
        </w:numPr>
        <w:spacing w:line="360" w:lineRule="auto"/>
        <w:ind w:left="0" w:firstLine="512"/>
        <w:rPr>
          <w:rFonts w:ascii="宋体" w:hAnsi="宋体" w:cs="宋体"/>
          <w:sz w:val="24"/>
          <w:highlight w:val="none"/>
        </w:rPr>
      </w:pPr>
      <w:r>
        <w:rPr>
          <w:rFonts w:hint="eastAsia" w:ascii="宋体" w:hAnsi="宋体" w:cs="宋体"/>
          <w:spacing w:val="8"/>
          <w:sz w:val="24"/>
          <w:highlight w:val="none"/>
        </w:rPr>
        <w:t>运转时应平稳、无异常声音和振动，电机电流、功率因数值正常，潜水电机外壳防护等级IP68。</w:t>
      </w:r>
    </w:p>
    <w:p>
      <w:pPr>
        <w:pStyle w:val="7"/>
        <w:spacing w:line="360" w:lineRule="auto"/>
        <w:rPr>
          <w:rStyle w:val="38"/>
          <w:rFonts w:ascii="宋体" w:hAnsi="宋体" w:cs="宋体"/>
          <w:b w:val="0"/>
          <w:bCs/>
          <w:sz w:val="24"/>
          <w:szCs w:val="24"/>
          <w:highlight w:val="none"/>
        </w:rPr>
      </w:pPr>
      <w:bookmarkStart w:id="167" w:name="_Toc40254130"/>
      <w:r>
        <w:rPr>
          <w:rStyle w:val="38"/>
          <w:rFonts w:hint="eastAsia" w:ascii="宋体" w:hAnsi="宋体" w:cs="宋体"/>
          <w:b w:val="0"/>
          <w:bCs/>
          <w:sz w:val="24"/>
          <w:szCs w:val="24"/>
          <w:highlight w:val="none"/>
        </w:rPr>
        <w:t>3.6双吸离心泵特殊技术要求</w:t>
      </w:r>
      <w:bookmarkEnd w:id="167"/>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承包商提供的离心泵应为成套装置（其中变频控制的需包括变频器），并需配备现场接线按钮箱、轴流筒（或轴流衬筒）、井筒盖、出水管三通（含法兰）、水泵综合保护装置、提升链、水下电缆、电缆固定装置等有效和安全运行所必需的附件。</w:t>
      </w:r>
    </w:p>
    <w:p>
      <w:pPr>
        <w:spacing w:line="360" w:lineRule="auto"/>
        <w:rPr>
          <w:rFonts w:ascii="宋体" w:hAnsi="宋体" w:cs="宋体"/>
          <w:sz w:val="24"/>
          <w:highlight w:val="none"/>
        </w:rPr>
      </w:pPr>
      <w:r>
        <w:rPr>
          <w:rFonts w:hint="eastAsia" w:ascii="宋体" w:hAnsi="宋体" w:cs="宋体"/>
          <w:sz w:val="24"/>
          <w:highlight w:val="none"/>
        </w:rPr>
        <w:t xml:space="preserve"> (1) 资料提交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投标人在投标文件中应提交以下资料(但不限于此)：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a. 泵装置的总体布置图，泵结构总装图，详细的技术规格，还应提供各频率调速下（50％～100％的转速范围内每隔10％变化）的特性曲线（流量、扬程、效率、功率、NPSHr以及不产生涡流旋入的泵体最低浸水水位），主要零件材料、保护设施和涂层等详细的投标说明，以及设备的外形尺寸和安装、维修运行所需的空间要求，提供水泵电缆及提升链的固定方案、预埋件和预留孔的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b. 土建荷载。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c. ISO9001质量管理体系认证。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e. 电气原理图。</w:t>
      </w:r>
    </w:p>
    <w:p>
      <w:pPr>
        <w:spacing w:line="360" w:lineRule="auto"/>
        <w:ind w:firstLine="480" w:firstLineChars="200"/>
        <w:rPr>
          <w:rFonts w:ascii="宋体" w:hAnsi="宋体" w:cs="宋体"/>
          <w:color w:val="FF0000"/>
          <w:sz w:val="24"/>
          <w:highlight w:val="none"/>
        </w:rPr>
      </w:pPr>
      <w:r>
        <w:rPr>
          <w:rFonts w:hint="eastAsia" w:ascii="宋体" w:hAnsi="宋体" w:cs="宋体"/>
          <w:sz w:val="24"/>
          <w:highlight w:val="none"/>
        </w:rPr>
        <w:t>f. 产品样本。</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g. 随机备件表。</w:t>
      </w:r>
    </w:p>
    <w:p>
      <w:pPr>
        <w:spacing w:line="360" w:lineRule="auto"/>
        <w:rPr>
          <w:rFonts w:ascii="宋体" w:hAnsi="宋体" w:cs="宋体"/>
          <w:sz w:val="24"/>
          <w:highlight w:val="none"/>
        </w:rPr>
      </w:pPr>
      <w:r>
        <w:rPr>
          <w:rFonts w:hint="eastAsia" w:ascii="宋体" w:hAnsi="宋体" w:cs="宋体"/>
          <w:sz w:val="24"/>
          <w:highlight w:val="none"/>
        </w:rPr>
        <w:t>(2) 设计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a. 泵试验应以ISO9906（2级）为准。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b. Q=480m3/h，H=103m N=220kW.</w:t>
      </w:r>
    </w:p>
    <w:p>
      <w:pPr>
        <w:spacing w:line="360" w:lineRule="auto"/>
        <w:rPr>
          <w:rFonts w:ascii="宋体" w:hAnsi="宋体" w:cs="宋体"/>
          <w:sz w:val="24"/>
          <w:highlight w:val="none"/>
        </w:rPr>
      </w:pPr>
      <w:r>
        <w:rPr>
          <w:rFonts w:hint="eastAsia" w:ascii="宋体" w:hAnsi="宋体" w:cs="宋体"/>
          <w:sz w:val="24"/>
          <w:highlight w:val="none"/>
        </w:rPr>
        <w:t xml:space="preserve"> (3)性能和结构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水力设计上采用交错、全扭凹型出口，减小水力脉冲，保证水力效率。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加宽密封环设计，减小容积损失，保证高效率。</w:t>
      </w:r>
    </w:p>
    <w:p>
      <w:pPr>
        <w:spacing w:line="360" w:lineRule="auto"/>
        <w:ind w:left="420" w:leftChars="200"/>
        <w:rPr>
          <w:rFonts w:ascii="宋体" w:hAnsi="宋体" w:cs="宋体"/>
          <w:sz w:val="24"/>
          <w:highlight w:val="none"/>
        </w:rPr>
      </w:pPr>
      <w:r>
        <w:rPr>
          <w:rFonts w:hint="eastAsia" w:ascii="宋体" w:hAnsi="宋体" w:cs="宋体"/>
          <w:sz w:val="24"/>
          <w:highlight w:val="none"/>
        </w:rPr>
        <w:t>水泵配置过流部件叶轮采用不锈钢材质，轴采用40Cr材质，泵壳、泵体采用球铁材质，采用博格曼机械密封，SKF轴承等品质配件，确保产品性能稳定、可靠，同时能更好的适用工作介质。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壳体加工，其余主要零件数控加工，专用三坐标检测，确保零件加工高精度。</w:t>
      </w:r>
    </w:p>
    <w:p>
      <w:pPr>
        <w:spacing w:line="360" w:lineRule="auto"/>
        <w:ind w:left="420" w:leftChars="200"/>
        <w:rPr>
          <w:rFonts w:ascii="宋体" w:hAnsi="宋体" w:cs="宋体"/>
          <w:sz w:val="24"/>
          <w:highlight w:val="none"/>
        </w:rPr>
      </w:pPr>
      <w:r>
        <w:rPr>
          <w:rFonts w:hint="eastAsia" w:ascii="宋体" w:hAnsi="宋体" w:cs="宋体"/>
          <w:sz w:val="24"/>
          <w:highlight w:val="none"/>
        </w:rPr>
        <w:t>配置轴承测温装置和轴承位测振装置，可以配用智慧信号采集箱或者智慧控制柜使用，可以实现水泵运行状态数字化，信息化，指标可视化显示。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智慧型双吸泵，通过排水泵智慧信号采集箱或者智慧控制柜，运行状态数据可以传输至云平台，通过电脑网页或者手机APP随时随地查看水泵运行状态。</w:t>
      </w:r>
    </w:p>
    <w:p>
      <w:pPr>
        <w:pStyle w:val="2"/>
        <w:spacing w:line="360" w:lineRule="auto"/>
        <w:rPr>
          <w:rFonts w:ascii="宋体" w:hAnsi="宋体" w:cs="宋体"/>
          <w:sz w:val="24"/>
          <w:highlight w:val="none"/>
        </w:rPr>
      </w:pPr>
    </w:p>
    <w:p>
      <w:pPr>
        <w:spacing w:line="360" w:lineRule="auto"/>
        <w:rPr>
          <w:rFonts w:ascii="宋体" w:hAnsi="宋体" w:cs="宋体"/>
          <w:sz w:val="24"/>
          <w:highlight w:val="none"/>
        </w:rPr>
      </w:pPr>
      <w:r>
        <w:rPr>
          <w:rFonts w:hint="eastAsia" w:ascii="宋体" w:hAnsi="宋体" w:cs="宋体"/>
          <w:sz w:val="24"/>
          <w:highlight w:val="none"/>
        </w:rPr>
        <w:t xml:space="preserve"> (4) 安装和检验</w:t>
      </w:r>
    </w:p>
    <w:p>
      <w:pPr>
        <w:spacing w:line="360" w:lineRule="auto"/>
        <w:rPr>
          <w:rFonts w:ascii="宋体" w:hAnsi="宋体" w:cs="宋体"/>
          <w:sz w:val="24"/>
          <w:highlight w:val="none"/>
        </w:rPr>
      </w:pPr>
      <w:r>
        <w:rPr>
          <w:rFonts w:hint="eastAsia" w:ascii="宋体" w:hAnsi="宋体" w:cs="宋体"/>
          <w:sz w:val="24"/>
          <w:highlight w:val="none"/>
        </w:rPr>
        <w:t>1)参考标准</w:t>
      </w:r>
    </w:p>
    <w:p>
      <w:pPr>
        <w:spacing w:line="360" w:lineRule="auto"/>
        <w:rPr>
          <w:rFonts w:ascii="宋体" w:hAnsi="宋体" w:cs="宋体"/>
          <w:sz w:val="24"/>
          <w:highlight w:val="none"/>
        </w:rPr>
      </w:pPr>
      <w:r>
        <w:rPr>
          <w:rFonts w:hint="eastAsia" w:ascii="宋体" w:hAnsi="宋体" w:cs="宋体"/>
          <w:sz w:val="24"/>
          <w:highlight w:val="none"/>
        </w:rPr>
        <w:t xml:space="preserve">ISO9906（2级）      </w:t>
      </w:r>
      <w:r>
        <w:rPr>
          <w:rFonts w:hint="eastAsia" w:ascii="宋体" w:hAnsi="宋体" w:cs="宋体"/>
          <w:sz w:val="24"/>
          <w:highlight w:val="none"/>
        </w:rPr>
        <w:tab/>
      </w:r>
      <w:r>
        <w:rPr>
          <w:rFonts w:hint="eastAsia" w:ascii="宋体" w:hAnsi="宋体" w:cs="宋体"/>
          <w:sz w:val="24"/>
          <w:highlight w:val="none"/>
        </w:rPr>
        <w:t>泵验收试验规程</w:t>
      </w:r>
    </w:p>
    <w:p>
      <w:pPr>
        <w:spacing w:line="360" w:lineRule="auto"/>
        <w:rPr>
          <w:rFonts w:ascii="宋体" w:hAnsi="宋体" w:cs="宋体"/>
          <w:sz w:val="24"/>
          <w:highlight w:val="none"/>
        </w:rPr>
      </w:pPr>
      <w:r>
        <w:rPr>
          <w:rFonts w:hint="eastAsia" w:ascii="宋体" w:hAnsi="宋体" w:cs="宋体"/>
          <w:sz w:val="24"/>
          <w:highlight w:val="none"/>
        </w:rPr>
        <w:t xml:space="preserve">GB50231-98   </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机械设备安装工程施工及验收通用规范</w:t>
      </w:r>
    </w:p>
    <w:p>
      <w:pPr>
        <w:spacing w:line="360" w:lineRule="auto"/>
        <w:rPr>
          <w:rFonts w:ascii="宋体" w:hAnsi="宋体" w:cs="宋体"/>
          <w:sz w:val="24"/>
          <w:highlight w:val="none"/>
        </w:rPr>
      </w:pPr>
      <w:r>
        <w:rPr>
          <w:rFonts w:hint="eastAsia" w:ascii="宋体" w:hAnsi="宋体" w:cs="宋体"/>
          <w:sz w:val="24"/>
          <w:highlight w:val="none"/>
        </w:rPr>
        <w:t xml:space="preserve">GB50275-98   </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泵安装工程施工及验收规范</w:t>
      </w:r>
    </w:p>
    <w:p>
      <w:pPr>
        <w:spacing w:line="360" w:lineRule="auto"/>
        <w:rPr>
          <w:rFonts w:ascii="宋体" w:hAnsi="宋体" w:cs="宋体"/>
          <w:sz w:val="24"/>
          <w:highlight w:val="none"/>
        </w:rPr>
      </w:pPr>
      <w:r>
        <w:rPr>
          <w:rFonts w:hint="eastAsia" w:ascii="宋体" w:hAnsi="宋体" w:cs="宋体"/>
          <w:sz w:val="24"/>
          <w:highlight w:val="none"/>
        </w:rPr>
        <w:t xml:space="preserve">制造厂       </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离心泵安装维修手册</w:t>
      </w:r>
    </w:p>
    <w:p>
      <w:pPr>
        <w:spacing w:line="360" w:lineRule="auto"/>
        <w:rPr>
          <w:rFonts w:ascii="宋体" w:hAnsi="宋体" w:cs="宋体"/>
          <w:sz w:val="24"/>
          <w:highlight w:val="none"/>
        </w:rPr>
      </w:pPr>
      <w:r>
        <w:rPr>
          <w:rFonts w:hint="eastAsia" w:ascii="宋体" w:hAnsi="宋体" w:cs="宋体"/>
          <w:sz w:val="24"/>
          <w:highlight w:val="none"/>
        </w:rPr>
        <w:t>2)现场条件</w:t>
      </w:r>
    </w:p>
    <w:p>
      <w:pPr>
        <w:spacing w:line="360" w:lineRule="auto"/>
        <w:rPr>
          <w:rFonts w:ascii="宋体" w:hAnsi="宋体" w:cs="宋体"/>
          <w:sz w:val="24"/>
          <w:highlight w:val="none"/>
        </w:rPr>
      </w:pPr>
      <w:r>
        <w:rPr>
          <w:rFonts w:hint="eastAsia" w:ascii="宋体" w:hAnsi="宋体" w:cs="宋体"/>
          <w:sz w:val="24"/>
          <w:highlight w:val="none"/>
        </w:rPr>
        <w:t>a.承包商应遵照标书图纸及对应土建工程的标高、位置，进行上述离心泵装置的安装。</w:t>
      </w:r>
    </w:p>
    <w:p>
      <w:pPr>
        <w:spacing w:line="360" w:lineRule="auto"/>
        <w:rPr>
          <w:rFonts w:ascii="宋体" w:hAnsi="宋体" w:cs="宋体"/>
          <w:sz w:val="24"/>
          <w:highlight w:val="none"/>
        </w:rPr>
      </w:pPr>
      <w:r>
        <w:rPr>
          <w:rFonts w:hint="eastAsia" w:ascii="宋体" w:hAnsi="宋体" w:cs="宋体"/>
          <w:sz w:val="24"/>
          <w:highlight w:val="none"/>
        </w:rPr>
        <w:t>b.承包商在上述设备安装前，应对建成构筑物的相关土建尺寸，进行核对，并提出详细记录，对不符合安装条件的部分，应向项目监理报告，经批准及修正后，方可安装。</w:t>
      </w:r>
    </w:p>
    <w:p>
      <w:pPr>
        <w:spacing w:line="360" w:lineRule="auto"/>
        <w:rPr>
          <w:rFonts w:ascii="宋体" w:hAnsi="宋体" w:cs="宋体"/>
          <w:sz w:val="24"/>
          <w:highlight w:val="none"/>
        </w:rPr>
      </w:pPr>
      <w:r>
        <w:rPr>
          <w:rFonts w:hint="eastAsia" w:ascii="宋体" w:hAnsi="宋体" w:cs="宋体"/>
          <w:sz w:val="24"/>
          <w:highlight w:val="none"/>
        </w:rPr>
        <w:t>3)现场检验和调试</w:t>
      </w:r>
    </w:p>
    <w:p>
      <w:pPr>
        <w:spacing w:line="360" w:lineRule="auto"/>
        <w:rPr>
          <w:rFonts w:ascii="宋体" w:hAnsi="宋体" w:cs="宋体"/>
          <w:sz w:val="24"/>
          <w:highlight w:val="none"/>
        </w:rPr>
      </w:pPr>
      <w:r>
        <w:rPr>
          <w:rFonts w:hint="eastAsia" w:ascii="宋体" w:hAnsi="宋体" w:cs="宋体"/>
          <w:sz w:val="24"/>
          <w:highlight w:val="none"/>
        </w:rPr>
        <w:t>a.离心泵安装后，承包商应按技术指标进行检验，并符合设计要求。</w:t>
      </w:r>
    </w:p>
    <w:p>
      <w:pPr>
        <w:spacing w:line="360" w:lineRule="auto"/>
        <w:rPr>
          <w:rFonts w:ascii="宋体" w:hAnsi="宋体" w:cs="宋体"/>
          <w:sz w:val="24"/>
          <w:highlight w:val="none"/>
        </w:rPr>
      </w:pPr>
      <w:r>
        <w:rPr>
          <w:rFonts w:hint="eastAsia" w:ascii="宋体" w:hAnsi="宋体" w:cs="宋体"/>
          <w:sz w:val="24"/>
          <w:highlight w:val="none"/>
        </w:rPr>
        <w:t>b.带负荷运转1小时，检测其流量、扬程及效率是否符合设计要求。</w:t>
      </w:r>
    </w:p>
    <w:p>
      <w:pPr>
        <w:spacing w:line="360" w:lineRule="auto"/>
        <w:rPr>
          <w:rStyle w:val="38"/>
          <w:highlight w:val="none"/>
        </w:rPr>
      </w:pPr>
      <w:r>
        <w:rPr>
          <w:rFonts w:hint="eastAsia" w:ascii="宋体" w:hAnsi="宋体" w:cs="宋体"/>
          <w:sz w:val="24"/>
          <w:highlight w:val="none"/>
        </w:rPr>
        <w:t>c.运转时应平稳、无异常声音和振动，电机电流值正常。</w:t>
      </w:r>
      <w:bookmarkStart w:id="168" w:name="_Toc40254134"/>
      <w:bookmarkStart w:id="169" w:name="_Toc6358"/>
    </w:p>
    <w:p>
      <w:pPr>
        <w:pStyle w:val="7"/>
        <w:rPr>
          <w:rStyle w:val="38"/>
          <w:b w:val="0"/>
          <w:bCs/>
          <w:highlight w:val="none"/>
        </w:rPr>
      </w:pPr>
      <w:bookmarkStart w:id="170" w:name="_Toc41211452"/>
      <w:r>
        <w:rPr>
          <w:rStyle w:val="38"/>
          <w:b w:val="0"/>
          <w:bCs w:val="0"/>
          <w:highlight w:val="none"/>
        </w:rPr>
        <w:t>3</w:t>
      </w:r>
      <w:r>
        <w:rPr>
          <w:rStyle w:val="38"/>
          <w:rFonts w:hint="eastAsia"/>
          <w:b w:val="0"/>
          <w:bCs w:val="0"/>
          <w:highlight w:val="none"/>
        </w:rPr>
        <w:t>.7机械隔膜计量泵专用技术要求</w:t>
      </w:r>
      <w:bookmarkEnd w:id="170"/>
    </w:p>
    <w:p>
      <w:pPr>
        <w:spacing w:line="360" w:lineRule="auto"/>
        <w:ind w:firstLine="480" w:firstLineChars="200"/>
        <w:rPr>
          <w:rFonts w:ascii="宋体" w:hAnsi="宋体"/>
          <w:sz w:val="24"/>
          <w:highlight w:val="none"/>
        </w:rPr>
      </w:pPr>
      <w:r>
        <w:rPr>
          <w:rFonts w:ascii="宋体" w:hAnsi="宋体"/>
          <w:sz w:val="24"/>
          <w:highlight w:val="none"/>
        </w:rPr>
        <w:t xml:space="preserve">加矾计量泵设置在加药间内，通过原水流量信号自动调节混凝剂的投加量。投标方应提供全套计量泵设备，包括伺服马达、冲程调节控制器、变频 调速电机、隔膜检漏报警装置、泵和电机共用底座、防护罩等。 </w:t>
      </w:r>
    </w:p>
    <w:p>
      <w:pPr>
        <w:spacing w:line="360" w:lineRule="auto"/>
        <w:ind w:firstLine="360" w:firstLineChars="150"/>
        <w:rPr>
          <w:rFonts w:ascii="宋体" w:hAnsi="宋体"/>
          <w:sz w:val="24"/>
          <w:highlight w:val="none"/>
        </w:rPr>
      </w:pPr>
      <w:r>
        <w:rPr>
          <w:rFonts w:ascii="宋体" w:hAnsi="宋体"/>
          <w:sz w:val="24"/>
          <w:highlight w:val="none"/>
        </w:rPr>
        <w:t xml:space="preserve">应采用往复无级调速隔膜计量泵结构。 </w:t>
      </w:r>
    </w:p>
    <w:p>
      <w:pPr>
        <w:spacing w:line="360" w:lineRule="auto"/>
        <w:ind w:firstLine="360" w:firstLineChars="150"/>
        <w:rPr>
          <w:rFonts w:ascii="宋体" w:hAnsi="宋体"/>
          <w:sz w:val="24"/>
          <w:highlight w:val="none"/>
        </w:rPr>
      </w:pPr>
      <w:r>
        <w:rPr>
          <w:rFonts w:ascii="宋体" w:hAnsi="宋体"/>
          <w:sz w:val="24"/>
          <w:highlight w:val="none"/>
        </w:rPr>
        <w:t xml:space="preserve">A）隔膜计量泵配备有自动过压保护装置当系统中排出管路意外堵塞或阀门意外关闭所引起的系统过压时，该内置安全阀将自动开启； </w:t>
      </w:r>
    </w:p>
    <w:p>
      <w:pPr>
        <w:spacing w:line="360" w:lineRule="auto"/>
        <w:ind w:firstLine="240" w:firstLineChars="100"/>
        <w:rPr>
          <w:rFonts w:ascii="宋体" w:hAnsi="宋体"/>
          <w:sz w:val="24"/>
          <w:highlight w:val="none"/>
        </w:rPr>
      </w:pPr>
      <w:r>
        <w:rPr>
          <w:rFonts w:ascii="宋体" w:hAnsi="宋体"/>
          <w:sz w:val="24"/>
          <w:highlight w:val="none"/>
        </w:rPr>
        <w:t xml:space="preserve">B）隔膜计量泵可接受 4-20MA 的模拟信号。 </w:t>
      </w:r>
    </w:p>
    <w:p>
      <w:pPr>
        <w:spacing w:line="360" w:lineRule="auto"/>
        <w:ind w:firstLine="240" w:firstLineChars="100"/>
        <w:rPr>
          <w:rFonts w:ascii="宋体" w:hAnsi="宋体"/>
          <w:sz w:val="24"/>
          <w:highlight w:val="none"/>
        </w:rPr>
      </w:pPr>
      <w:r>
        <w:rPr>
          <w:rFonts w:ascii="宋体" w:hAnsi="宋体"/>
          <w:sz w:val="24"/>
          <w:highlight w:val="none"/>
        </w:rPr>
        <w:t xml:space="preserve">C）泵体配备有手动调节旋钮调节冲程。分辨率为±0.5%，冲程调节范围 0-100%。 </w:t>
      </w:r>
    </w:p>
    <w:p>
      <w:pPr>
        <w:spacing w:line="360" w:lineRule="auto"/>
        <w:ind w:firstLine="240" w:firstLineChars="100"/>
        <w:rPr>
          <w:rFonts w:ascii="宋体" w:hAnsi="宋体"/>
          <w:sz w:val="24"/>
          <w:highlight w:val="none"/>
        </w:rPr>
      </w:pPr>
      <w:r>
        <w:rPr>
          <w:rFonts w:ascii="宋体" w:hAnsi="宋体"/>
          <w:sz w:val="24"/>
          <w:highlight w:val="none"/>
        </w:rPr>
        <w:t xml:space="preserve">D）隔膜式计量泵的泵头主要由隔膜、单向球阀，泵头外壳组成。隔膜材 料选用聚四氟乙烯（PTFE），泵头外壳及单向球阀的材质为 PTFE。在正常工作 条件下，经过精密加工，防腐性 的单向阀可保证计量泵运行的精度及稳定 性，而计量泵的隔膜连续运行寿命至少 17，000 小时。 </w:t>
      </w:r>
    </w:p>
    <w:p>
      <w:pPr>
        <w:spacing w:line="360" w:lineRule="auto"/>
        <w:ind w:firstLine="240" w:firstLineChars="100"/>
        <w:rPr>
          <w:rFonts w:ascii="宋体" w:hAnsi="宋体"/>
          <w:sz w:val="24"/>
          <w:highlight w:val="none"/>
        </w:rPr>
      </w:pPr>
      <w:r>
        <w:rPr>
          <w:rFonts w:ascii="宋体" w:hAnsi="宋体"/>
          <w:sz w:val="24"/>
          <w:highlight w:val="none"/>
        </w:rPr>
        <w:t xml:space="preserve">E）计量泵带负荷运行时，泵的噪音不高于 70 DB（A），无异常振动，各密封处没有泄漏。 </w:t>
      </w:r>
    </w:p>
    <w:p>
      <w:pPr>
        <w:spacing w:line="360" w:lineRule="auto"/>
        <w:ind w:firstLine="240" w:firstLineChars="100"/>
        <w:rPr>
          <w:rFonts w:ascii="宋体" w:hAnsi="宋体"/>
          <w:sz w:val="24"/>
          <w:highlight w:val="none"/>
        </w:rPr>
      </w:pPr>
      <w:r>
        <w:rPr>
          <w:rFonts w:ascii="宋体" w:hAnsi="宋体"/>
          <w:sz w:val="24"/>
          <w:highlight w:val="none"/>
        </w:rPr>
        <w:t xml:space="preserve">F）加药计量泵在出厂前，在明显的部位标注电动机旋转方向指示箭头。 </w:t>
      </w:r>
    </w:p>
    <w:p>
      <w:pPr>
        <w:spacing w:line="360" w:lineRule="auto"/>
        <w:ind w:firstLine="240" w:firstLineChars="100"/>
        <w:rPr>
          <w:rFonts w:ascii="宋体" w:hAnsi="宋体"/>
          <w:sz w:val="24"/>
          <w:highlight w:val="none"/>
        </w:rPr>
      </w:pPr>
      <w:r>
        <w:rPr>
          <w:rFonts w:ascii="宋体" w:hAnsi="宋体"/>
          <w:sz w:val="24"/>
          <w:highlight w:val="none"/>
        </w:rPr>
        <w:t xml:space="preserve">G) 所有加药计量泵都可以选配隔膜自动检漏报警装置。装置为压力感应 式，包括隔膜、探头、导管，外接指针式压力表和压力开关。能感应隔膜间 压力变化，压力表就地指示报警，另可以选择通过压力开关传导远程报警信 号至加药间控制室。 </w:t>
      </w:r>
    </w:p>
    <w:p>
      <w:pPr>
        <w:spacing w:line="360" w:lineRule="auto"/>
        <w:ind w:firstLine="360" w:firstLineChars="150"/>
        <w:rPr>
          <w:rFonts w:ascii="宋体" w:hAnsi="宋体"/>
          <w:sz w:val="24"/>
          <w:highlight w:val="none"/>
        </w:rPr>
      </w:pPr>
      <w:r>
        <w:rPr>
          <w:rFonts w:ascii="宋体" w:hAnsi="宋体"/>
          <w:sz w:val="24"/>
          <w:highlight w:val="none"/>
        </w:rPr>
        <w:t xml:space="preserve">计量泵的吸水管头部应带有一个可通过计量泵最大流量 1.5 倍的最大缝 隙为 1MM 的 UPVC 滤网。 </w:t>
      </w:r>
    </w:p>
    <w:p>
      <w:pPr>
        <w:spacing w:line="360" w:lineRule="auto"/>
        <w:ind w:firstLine="360" w:firstLineChars="150"/>
        <w:rPr>
          <w:rFonts w:ascii="宋体" w:hAnsi="宋体"/>
          <w:sz w:val="24"/>
          <w:highlight w:val="none"/>
        </w:rPr>
      </w:pPr>
      <w:r>
        <w:rPr>
          <w:rFonts w:ascii="宋体" w:hAnsi="宋体"/>
          <w:sz w:val="24"/>
          <w:highlight w:val="none"/>
        </w:rPr>
        <w:t>设备商应提供全套计量泵附件（计量泵正常运行和对其他控制所需的附属 设备），含：背压阀、安全阀、注料阀、阻尼器等附件，应采用计量泵同一制造厂家生产的产品</w:t>
      </w:r>
      <w:r>
        <w:rPr>
          <w:rFonts w:hint="eastAsia" w:ascii="宋体" w:hAnsi="宋体"/>
          <w:sz w:val="24"/>
          <w:highlight w:val="none"/>
        </w:rPr>
        <w:t>.</w:t>
      </w:r>
      <w:r>
        <w:rPr>
          <w:rFonts w:ascii="宋体" w:hAnsi="宋体"/>
          <w:sz w:val="24"/>
          <w:highlight w:val="none"/>
        </w:rPr>
        <w:t xml:space="preserve"> </w:t>
      </w:r>
    </w:p>
    <w:p>
      <w:pPr>
        <w:spacing w:line="360" w:lineRule="auto"/>
        <w:rPr>
          <w:rFonts w:ascii="宋体" w:hAnsi="宋体"/>
          <w:sz w:val="24"/>
          <w:highlight w:val="none"/>
        </w:rPr>
      </w:pPr>
      <w:r>
        <w:rPr>
          <w:rFonts w:ascii="宋体" w:hAnsi="宋体"/>
          <w:sz w:val="24"/>
          <w:highlight w:val="none"/>
        </w:rPr>
        <w:t xml:space="preserve">A）背压阀 </w:t>
      </w:r>
    </w:p>
    <w:p>
      <w:pPr>
        <w:spacing w:line="360" w:lineRule="auto"/>
        <w:ind w:firstLine="360" w:firstLineChars="150"/>
        <w:rPr>
          <w:rFonts w:ascii="宋体" w:hAnsi="宋体"/>
          <w:sz w:val="24"/>
          <w:highlight w:val="none"/>
        </w:rPr>
      </w:pPr>
      <w:r>
        <w:rPr>
          <w:rFonts w:ascii="宋体" w:hAnsi="宋体"/>
          <w:sz w:val="24"/>
          <w:highlight w:val="none"/>
        </w:rPr>
        <w:t xml:space="preserve">安装于计量泵压力管道上产生恒定背压，有助于精度计量，防止低压。压力在 阀门的隔膜间产生，所需要的压力可通过弹簧支承的调节螺钉来调节。 </w:t>
      </w:r>
    </w:p>
    <w:p>
      <w:pPr>
        <w:spacing w:line="360" w:lineRule="auto"/>
        <w:ind w:firstLine="360" w:firstLineChars="150"/>
        <w:rPr>
          <w:rFonts w:ascii="宋体" w:hAnsi="宋体"/>
          <w:sz w:val="24"/>
          <w:highlight w:val="none"/>
        </w:rPr>
      </w:pPr>
      <w:r>
        <w:rPr>
          <w:rFonts w:ascii="宋体" w:hAnsi="宋体"/>
          <w:sz w:val="24"/>
          <w:highlight w:val="none"/>
        </w:rPr>
        <w:t xml:space="preserve">与泵的最大输出容量配套，使系统压力稳定在 0.3MPa 材质： 阀体：PVC/不锈钢；O 型圈：氟化橡胶。 </w:t>
      </w:r>
    </w:p>
    <w:p>
      <w:pPr>
        <w:spacing w:line="360" w:lineRule="auto"/>
        <w:rPr>
          <w:rFonts w:ascii="宋体" w:hAnsi="宋体"/>
          <w:sz w:val="24"/>
          <w:highlight w:val="none"/>
        </w:rPr>
      </w:pPr>
      <w:r>
        <w:rPr>
          <w:rFonts w:ascii="宋体" w:hAnsi="宋体"/>
          <w:sz w:val="24"/>
          <w:highlight w:val="none"/>
        </w:rPr>
        <w:t xml:space="preserve">B）安全阀 </w:t>
      </w:r>
    </w:p>
    <w:p>
      <w:pPr>
        <w:spacing w:line="360" w:lineRule="auto"/>
        <w:ind w:firstLine="360" w:firstLineChars="150"/>
        <w:rPr>
          <w:rFonts w:ascii="宋体" w:hAnsi="宋体"/>
          <w:sz w:val="24"/>
          <w:highlight w:val="none"/>
        </w:rPr>
      </w:pPr>
      <w:r>
        <w:rPr>
          <w:rFonts w:ascii="宋体" w:hAnsi="宋体"/>
          <w:sz w:val="24"/>
          <w:highlight w:val="none"/>
        </w:rPr>
        <w:t xml:space="preserve">安装于泵出口管路上，管道压力升高异常时，释放药液回矾液池，保护泵隔膜 和管道不受损坏。 </w:t>
      </w:r>
    </w:p>
    <w:p>
      <w:pPr>
        <w:spacing w:line="360" w:lineRule="auto"/>
        <w:ind w:firstLine="360" w:firstLineChars="150"/>
        <w:rPr>
          <w:rFonts w:ascii="宋体" w:hAnsi="宋体"/>
          <w:sz w:val="24"/>
          <w:highlight w:val="none"/>
        </w:rPr>
      </w:pPr>
      <w:r>
        <w:rPr>
          <w:rFonts w:ascii="宋体" w:hAnsi="宋体"/>
          <w:sz w:val="24"/>
          <w:highlight w:val="none"/>
        </w:rPr>
        <w:t xml:space="preserve">释放压力设定范围：0.02-1.00MPa，现场连续可调 </w:t>
      </w:r>
    </w:p>
    <w:p>
      <w:pPr>
        <w:spacing w:line="360" w:lineRule="auto"/>
        <w:ind w:firstLine="360" w:firstLineChars="150"/>
        <w:rPr>
          <w:rFonts w:ascii="宋体" w:hAnsi="宋体"/>
          <w:sz w:val="24"/>
          <w:highlight w:val="none"/>
        </w:rPr>
      </w:pPr>
      <w:r>
        <w:rPr>
          <w:rFonts w:ascii="宋体" w:hAnsi="宋体"/>
          <w:sz w:val="24"/>
          <w:highlight w:val="none"/>
        </w:rPr>
        <w:t xml:space="preserve">材质： 阀体：PVC /不锈钢；O 型圈：氟化橡胶。 </w:t>
      </w:r>
    </w:p>
    <w:p>
      <w:pPr>
        <w:spacing w:line="360" w:lineRule="auto"/>
        <w:rPr>
          <w:rFonts w:ascii="宋体" w:hAnsi="宋体"/>
          <w:sz w:val="24"/>
          <w:highlight w:val="none"/>
        </w:rPr>
      </w:pPr>
      <w:r>
        <w:rPr>
          <w:rFonts w:ascii="宋体" w:hAnsi="宋体"/>
          <w:sz w:val="24"/>
          <w:highlight w:val="none"/>
        </w:rPr>
        <w:t xml:space="preserve">C）Y 型过滤器 </w:t>
      </w:r>
    </w:p>
    <w:p>
      <w:pPr>
        <w:spacing w:line="360" w:lineRule="auto"/>
        <w:ind w:firstLine="360" w:firstLineChars="150"/>
        <w:rPr>
          <w:rFonts w:ascii="宋体" w:hAnsi="宋体"/>
          <w:sz w:val="24"/>
          <w:highlight w:val="none"/>
        </w:rPr>
      </w:pPr>
      <w:r>
        <w:rPr>
          <w:rFonts w:ascii="宋体" w:hAnsi="宋体"/>
          <w:sz w:val="24"/>
          <w:highlight w:val="none"/>
        </w:rPr>
        <w:t xml:space="preserve">过滤器为可拆卸网栏型，带法兰连接，适用于硫酸铝溶液和碱式氯化铝溶液。 应按照最小流动阻力设计，其自由过滤面积与管子截面积比应大于 4：10 </w:t>
      </w:r>
    </w:p>
    <w:p>
      <w:pPr>
        <w:spacing w:line="360" w:lineRule="auto"/>
        <w:ind w:firstLine="360" w:firstLineChars="150"/>
        <w:rPr>
          <w:rFonts w:ascii="宋体" w:hAnsi="宋体"/>
          <w:sz w:val="24"/>
          <w:highlight w:val="none"/>
        </w:rPr>
      </w:pPr>
      <w:r>
        <w:rPr>
          <w:rFonts w:ascii="宋体" w:hAnsi="宋体"/>
          <w:sz w:val="24"/>
          <w:highlight w:val="none"/>
        </w:rPr>
        <w:t xml:space="preserve">材质： 透明 PVC，滤芯应易于检查和拆卸清除杂质。 </w:t>
      </w:r>
    </w:p>
    <w:p>
      <w:pPr>
        <w:spacing w:line="360" w:lineRule="auto"/>
        <w:rPr>
          <w:rFonts w:ascii="宋体" w:hAnsi="宋体"/>
          <w:sz w:val="24"/>
          <w:highlight w:val="none"/>
        </w:rPr>
      </w:pPr>
      <w:r>
        <w:rPr>
          <w:rFonts w:ascii="宋体" w:hAnsi="宋体"/>
          <w:sz w:val="24"/>
          <w:highlight w:val="none"/>
        </w:rPr>
        <w:t xml:space="preserve">D）注料阀 </w:t>
      </w:r>
    </w:p>
    <w:p>
      <w:pPr>
        <w:spacing w:line="360" w:lineRule="auto"/>
        <w:ind w:firstLine="360" w:firstLineChars="150"/>
        <w:rPr>
          <w:rFonts w:ascii="宋体" w:hAnsi="宋体"/>
          <w:sz w:val="24"/>
          <w:highlight w:val="none"/>
        </w:rPr>
      </w:pPr>
      <w:r>
        <w:rPr>
          <w:rFonts w:ascii="宋体" w:hAnsi="宋体"/>
          <w:sz w:val="24"/>
          <w:highlight w:val="none"/>
        </w:rPr>
        <w:t xml:space="preserve">将计量泵加药系统的排出管线连接到加药点，用以增加压力和防止回流。 </w:t>
      </w:r>
    </w:p>
    <w:p>
      <w:pPr>
        <w:spacing w:line="360" w:lineRule="auto"/>
        <w:ind w:firstLine="360" w:firstLineChars="150"/>
        <w:rPr>
          <w:rFonts w:ascii="宋体" w:hAnsi="宋体"/>
          <w:sz w:val="24"/>
          <w:highlight w:val="none"/>
        </w:rPr>
      </w:pPr>
      <w:r>
        <w:rPr>
          <w:rFonts w:ascii="宋体" w:hAnsi="宋体"/>
          <w:sz w:val="24"/>
          <w:highlight w:val="none"/>
        </w:rPr>
        <w:t xml:space="preserve">压力 1.0MPa。 </w:t>
      </w:r>
    </w:p>
    <w:p>
      <w:pPr>
        <w:spacing w:line="360" w:lineRule="auto"/>
        <w:ind w:firstLine="360" w:firstLineChars="150"/>
        <w:rPr>
          <w:rFonts w:ascii="宋体" w:hAnsi="宋体"/>
          <w:sz w:val="24"/>
          <w:highlight w:val="none"/>
        </w:rPr>
      </w:pPr>
      <w:r>
        <w:rPr>
          <w:rFonts w:ascii="宋体" w:hAnsi="宋体"/>
          <w:sz w:val="24"/>
          <w:highlight w:val="none"/>
        </w:rPr>
        <w:t xml:space="preserve">与泵的最大输出流量和输药管长度匹配，双端活接连接。 </w:t>
      </w:r>
    </w:p>
    <w:p>
      <w:pPr>
        <w:spacing w:line="360" w:lineRule="auto"/>
        <w:ind w:left="315" w:leftChars="150"/>
        <w:rPr>
          <w:rFonts w:ascii="宋体" w:hAnsi="宋体"/>
          <w:sz w:val="24"/>
          <w:highlight w:val="none"/>
        </w:rPr>
      </w:pPr>
      <w:r>
        <w:rPr>
          <w:rFonts w:ascii="宋体" w:hAnsi="宋体"/>
          <w:sz w:val="24"/>
          <w:highlight w:val="none"/>
        </w:rPr>
        <w:t xml:space="preserve">注料阀结合一个单向球阀，阀内设有 0.5kg/cm2之弹簧。 </w:t>
      </w:r>
      <w:r>
        <w:rPr>
          <w:rFonts w:ascii="宋体" w:hAnsi="宋体"/>
          <w:sz w:val="24"/>
          <w:highlight w:val="none"/>
        </w:rPr>
        <w:br w:type="textWrapping"/>
      </w:r>
      <w:r>
        <w:rPr>
          <w:rFonts w:ascii="宋体" w:hAnsi="宋体"/>
          <w:sz w:val="24"/>
          <w:highlight w:val="none"/>
        </w:rPr>
        <w:t xml:space="preserve">阀体材质为 PVC。 </w:t>
      </w:r>
    </w:p>
    <w:p>
      <w:pPr>
        <w:spacing w:line="360" w:lineRule="auto"/>
        <w:rPr>
          <w:rFonts w:ascii="宋体" w:hAnsi="宋体"/>
          <w:sz w:val="24"/>
          <w:highlight w:val="none"/>
        </w:rPr>
      </w:pPr>
      <w:r>
        <w:rPr>
          <w:rFonts w:ascii="宋体" w:hAnsi="宋体"/>
          <w:sz w:val="24"/>
          <w:highlight w:val="none"/>
        </w:rPr>
        <w:t xml:space="preserve">E）脉冲阻尼器 </w:t>
      </w:r>
    </w:p>
    <w:p>
      <w:pPr>
        <w:spacing w:line="360" w:lineRule="auto"/>
        <w:ind w:firstLine="360" w:firstLineChars="150"/>
        <w:rPr>
          <w:rFonts w:ascii="宋体" w:hAnsi="宋体"/>
          <w:sz w:val="24"/>
          <w:highlight w:val="none"/>
        </w:rPr>
      </w:pPr>
      <w:r>
        <w:rPr>
          <w:rFonts w:ascii="宋体" w:hAnsi="宋体"/>
          <w:sz w:val="24"/>
          <w:highlight w:val="none"/>
        </w:rPr>
        <w:t xml:space="preserve">脉冲阻尼器安装于泵出口下游压力管道上，采用 PVC/不锈钢外壳，内带独立 Hypalon 隔膜（气室）。圆柱或球外形，螺纹连接。气室预充压缩空气或氮气，以后 不需补充气体，标准预充压力为计量泵工作压力的 80％。经脉冲阻尼器平滑后，可 实现 5％～10％的阻尼缓冲。最高工作压力 1.0Mpa。 </w:t>
      </w:r>
    </w:p>
    <w:p>
      <w:pPr>
        <w:spacing w:line="360" w:lineRule="auto"/>
        <w:ind w:firstLine="360" w:firstLineChars="150"/>
        <w:rPr>
          <w:rFonts w:ascii="宋体" w:hAnsi="宋体"/>
          <w:sz w:val="24"/>
          <w:highlight w:val="none"/>
        </w:rPr>
      </w:pPr>
      <w:r>
        <w:rPr>
          <w:rFonts w:ascii="宋体" w:hAnsi="宋体"/>
          <w:sz w:val="24"/>
          <w:highlight w:val="none"/>
        </w:rPr>
        <w:t xml:space="preserve">有效容积：与计量泵输出的最大流量配套。 </w:t>
      </w:r>
    </w:p>
    <w:p>
      <w:pPr>
        <w:spacing w:line="360" w:lineRule="auto"/>
        <w:ind w:firstLine="360" w:firstLineChars="150"/>
        <w:rPr>
          <w:rFonts w:ascii="宋体" w:hAnsi="宋体"/>
          <w:sz w:val="24"/>
          <w:highlight w:val="none"/>
        </w:rPr>
      </w:pPr>
      <w:r>
        <w:rPr>
          <w:rFonts w:ascii="宋体" w:hAnsi="宋体"/>
          <w:sz w:val="24"/>
          <w:highlight w:val="none"/>
        </w:rPr>
        <w:t xml:space="preserve">脉冲阻尼器材质：外壳：PVC/不锈钢，带双端活接隔离阀； </w:t>
      </w:r>
    </w:p>
    <w:p>
      <w:pPr>
        <w:spacing w:line="360" w:lineRule="auto"/>
        <w:ind w:firstLine="360" w:firstLineChars="150"/>
        <w:rPr>
          <w:rFonts w:ascii="宋体" w:hAnsi="宋体"/>
          <w:sz w:val="24"/>
          <w:highlight w:val="none"/>
        </w:rPr>
      </w:pPr>
      <w:r>
        <w:rPr>
          <w:rFonts w:ascii="宋体" w:hAnsi="宋体"/>
          <w:sz w:val="24"/>
          <w:highlight w:val="none"/>
        </w:rPr>
        <w:t xml:space="preserve">弹性隔膜：Hypalon；垫圈：氟化橡胶 </w:t>
      </w:r>
    </w:p>
    <w:p>
      <w:pPr>
        <w:spacing w:line="360" w:lineRule="auto"/>
        <w:ind w:firstLine="360" w:firstLineChars="150"/>
        <w:rPr>
          <w:rFonts w:ascii="宋体" w:hAnsi="宋体"/>
          <w:sz w:val="24"/>
          <w:highlight w:val="none"/>
        </w:rPr>
      </w:pPr>
      <w:r>
        <w:rPr>
          <w:rFonts w:ascii="宋体" w:hAnsi="宋体"/>
          <w:sz w:val="24"/>
          <w:highlight w:val="none"/>
        </w:rPr>
        <w:t xml:space="preserve">压力表： 防脉冲器装有压力表，钢制，铜管连接，表盘不小于 2-1／2"，不锈 钢／PVC 外壳；表内充满甘油。 </w:t>
      </w:r>
    </w:p>
    <w:p>
      <w:pPr>
        <w:pStyle w:val="2"/>
        <w:rPr>
          <w:highlight w:val="none"/>
        </w:rPr>
      </w:pPr>
    </w:p>
    <w:p>
      <w:pPr>
        <w:pStyle w:val="7"/>
        <w:rPr>
          <w:rStyle w:val="38"/>
          <w:b w:val="0"/>
          <w:bCs/>
          <w:highlight w:val="none"/>
        </w:rPr>
      </w:pPr>
      <w:bookmarkStart w:id="171" w:name="_Toc41211453"/>
      <w:r>
        <w:rPr>
          <w:rStyle w:val="38"/>
          <w:b w:val="0"/>
          <w:bCs w:val="0"/>
          <w:highlight w:val="none"/>
        </w:rPr>
        <w:t>3</w:t>
      </w:r>
      <w:r>
        <w:rPr>
          <w:rStyle w:val="38"/>
          <w:rFonts w:hint="eastAsia"/>
          <w:b w:val="0"/>
          <w:bCs w:val="0"/>
          <w:highlight w:val="none"/>
        </w:rPr>
        <w:t>.8耐腐蚀液下泵专用技术要求</w:t>
      </w:r>
      <w:bookmarkEnd w:id="171"/>
    </w:p>
    <w:p>
      <w:pPr>
        <w:spacing w:line="360" w:lineRule="auto"/>
        <w:ind w:firstLine="360" w:firstLineChars="150"/>
        <w:rPr>
          <w:rFonts w:ascii="宋体" w:hAnsi="宋体"/>
          <w:sz w:val="24"/>
          <w:highlight w:val="none"/>
        </w:rPr>
      </w:pPr>
      <w:r>
        <w:rPr>
          <w:rFonts w:ascii="宋体" w:hAnsi="宋体"/>
          <w:sz w:val="24"/>
          <w:highlight w:val="none"/>
        </w:rPr>
        <w:t xml:space="preserve">a. 耐腐蚀泵用于提升碱式氯化铝溶液(浓度 30~35％)至溶液池进行配药稀释。 耐腐蚀泵采用单级单吸立式耐腐蚀液下泵，与药液接触的部件必须能耐提升药剂的腐蚀。泵吸入口在底部（即轴向），出口连接管至支承座处，垂直向上，为凸面型法 兰连接。投标时，投标方应提供泵性能曲线，包括流量与场程、效率、轴功率等。 </w:t>
      </w:r>
    </w:p>
    <w:p>
      <w:pPr>
        <w:spacing w:line="360" w:lineRule="auto"/>
        <w:ind w:firstLine="360" w:firstLineChars="150"/>
        <w:rPr>
          <w:rFonts w:ascii="宋体" w:hAnsi="宋体"/>
          <w:sz w:val="24"/>
          <w:highlight w:val="none"/>
        </w:rPr>
      </w:pPr>
      <w:r>
        <w:rPr>
          <w:rFonts w:ascii="宋体" w:hAnsi="宋体"/>
          <w:sz w:val="24"/>
          <w:highlight w:val="none"/>
        </w:rPr>
        <w:t xml:space="preserve">b. 耐腐蚀泵主要由泵体、泵盖、叶轮、轴、出液管、轴承架等组成。泵吸入口带有滤网。 </w:t>
      </w:r>
    </w:p>
    <w:p>
      <w:pPr>
        <w:spacing w:line="360" w:lineRule="auto"/>
        <w:ind w:firstLine="360" w:firstLineChars="150"/>
        <w:rPr>
          <w:rFonts w:ascii="宋体" w:hAnsi="宋体"/>
          <w:sz w:val="24"/>
          <w:highlight w:val="none"/>
        </w:rPr>
      </w:pPr>
      <w:r>
        <w:rPr>
          <w:rFonts w:ascii="宋体" w:hAnsi="宋体"/>
          <w:sz w:val="24"/>
          <w:highlight w:val="none"/>
        </w:rPr>
        <w:t xml:space="preserve">c. 主要部件材料： </w:t>
      </w:r>
    </w:p>
    <w:p>
      <w:pPr>
        <w:spacing w:line="360" w:lineRule="auto"/>
        <w:ind w:firstLine="360" w:firstLineChars="150"/>
        <w:rPr>
          <w:rFonts w:ascii="宋体" w:hAnsi="宋体"/>
          <w:sz w:val="24"/>
          <w:highlight w:val="none"/>
        </w:rPr>
      </w:pPr>
      <w:r>
        <w:rPr>
          <w:rFonts w:ascii="宋体" w:hAnsi="宋体"/>
          <w:sz w:val="24"/>
          <w:highlight w:val="none"/>
        </w:rPr>
        <w:t xml:space="preserve">壳体及叶轮：CPVC； </w:t>
      </w:r>
    </w:p>
    <w:p>
      <w:pPr>
        <w:spacing w:line="360" w:lineRule="auto"/>
        <w:ind w:firstLine="360" w:firstLineChars="150"/>
        <w:rPr>
          <w:rFonts w:ascii="宋体" w:hAnsi="宋体"/>
          <w:sz w:val="24"/>
          <w:highlight w:val="none"/>
        </w:rPr>
      </w:pPr>
      <w:r>
        <w:rPr>
          <w:rFonts w:ascii="宋体" w:hAnsi="宋体"/>
          <w:sz w:val="24"/>
          <w:highlight w:val="none"/>
        </w:rPr>
        <w:t xml:space="preserve">轴：不锈钢 SS303，带 CPVC 轴套保护 轴承：高纯度耐化学腐蚀球墨铸铁 </w:t>
      </w:r>
    </w:p>
    <w:p>
      <w:pPr>
        <w:spacing w:line="360" w:lineRule="auto"/>
        <w:ind w:firstLine="360" w:firstLineChars="150"/>
        <w:rPr>
          <w:rFonts w:ascii="宋体" w:hAnsi="宋体"/>
          <w:sz w:val="24"/>
          <w:highlight w:val="none"/>
        </w:rPr>
      </w:pPr>
      <w:r>
        <w:rPr>
          <w:rFonts w:ascii="宋体" w:hAnsi="宋体"/>
          <w:sz w:val="24"/>
          <w:highlight w:val="none"/>
        </w:rPr>
        <w:t xml:space="preserve">衬套：无二氧化硅陶瓷，耐氟化物。 </w:t>
      </w:r>
    </w:p>
    <w:p>
      <w:pPr>
        <w:spacing w:line="360" w:lineRule="auto"/>
        <w:ind w:firstLine="360" w:firstLineChars="150"/>
        <w:rPr>
          <w:rFonts w:ascii="宋体" w:hAnsi="宋体"/>
          <w:sz w:val="24"/>
          <w:highlight w:val="none"/>
        </w:rPr>
      </w:pPr>
      <w:r>
        <w:rPr>
          <w:rFonts w:ascii="宋体" w:hAnsi="宋体"/>
          <w:sz w:val="24"/>
          <w:highlight w:val="none"/>
        </w:rPr>
        <w:t xml:space="preserve">d. 工作时泵体浸在液体中，不需排气抽真空，电机安装在液面以上。 </w:t>
      </w:r>
    </w:p>
    <w:p>
      <w:pPr>
        <w:spacing w:line="360" w:lineRule="auto"/>
        <w:ind w:firstLine="360" w:firstLineChars="150"/>
        <w:rPr>
          <w:rFonts w:ascii="宋体" w:hAnsi="宋体"/>
          <w:sz w:val="24"/>
          <w:highlight w:val="none"/>
        </w:rPr>
      </w:pPr>
      <w:r>
        <w:rPr>
          <w:rFonts w:ascii="宋体" w:hAnsi="宋体"/>
          <w:sz w:val="24"/>
          <w:highlight w:val="none"/>
        </w:rPr>
        <w:t xml:space="preserve">e. 立式电机以双头螺栓固紧在电动机座上，通过弹性联轴器与泵体直接传动， 泵体采用悬吊式安装。轴承座内设有填料室，用填料压盖压紧。机座固定在溶解池 或贮矾池或贮碱池池顶专用基础上。泵出液管支撑与电机机座连为一体，不许将出液管的重量作用于泵体上。泵体适应于不同排出管连接方向要求。 </w:t>
      </w:r>
    </w:p>
    <w:p>
      <w:pPr>
        <w:spacing w:line="360" w:lineRule="auto"/>
        <w:ind w:firstLine="360" w:firstLineChars="150"/>
        <w:rPr>
          <w:rFonts w:ascii="宋体" w:hAnsi="宋体"/>
          <w:sz w:val="24"/>
          <w:highlight w:val="none"/>
        </w:rPr>
      </w:pPr>
      <w:r>
        <w:rPr>
          <w:rFonts w:ascii="宋体" w:hAnsi="宋体"/>
          <w:sz w:val="24"/>
          <w:highlight w:val="none"/>
        </w:rPr>
        <w:t xml:space="preserve">f. 泵设计满足无金属与药液接触。传动轴、电机等与药液空气隔离。 </w:t>
      </w:r>
    </w:p>
    <w:p>
      <w:pPr>
        <w:spacing w:line="360" w:lineRule="auto"/>
        <w:ind w:firstLine="360" w:firstLineChars="150"/>
        <w:rPr>
          <w:rFonts w:ascii="宋体" w:hAnsi="宋体"/>
          <w:sz w:val="24"/>
          <w:highlight w:val="none"/>
        </w:rPr>
      </w:pPr>
      <w:r>
        <w:rPr>
          <w:rFonts w:ascii="宋体" w:hAnsi="宋体"/>
          <w:sz w:val="24"/>
          <w:highlight w:val="none"/>
        </w:rPr>
        <w:t xml:space="preserve">g. 设备不仅应满足一般技术规定条款要求的工作环境及设计使用期限，而且还 应在 PH 为 3-9 的流体环境下满负荷连续运行，在额定负荷条件下运行的无故障工作 时间不少于 2 万小时，使用寿命 10 年以上。 </w:t>
      </w:r>
    </w:p>
    <w:p>
      <w:pPr>
        <w:spacing w:line="360" w:lineRule="auto"/>
        <w:ind w:firstLine="360" w:firstLineChars="150"/>
        <w:rPr>
          <w:rFonts w:ascii="宋体" w:hAnsi="宋体"/>
          <w:sz w:val="24"/>
          <w:highlight w:val="none"/>
        </w:rPr>
      </w:pPr>
      <w:r>
        <w:rPr>
          <w:rFonts w:ascii="宋体" w:hAnsi="宋体"/>
          <w:sz w:val="24"/>
          <w:highlight w:val="none"/>
        </w:rPr>
        <w:t xml:space="preserve">h. 整机应能分段安装和拆卸，并设计有便于分段拆装的结构。 </w:t>
      </w:r>
    </w:p>
    <w:p>
      <w:pPr>
        <w:spacing w:line="360" w:lineRule="auto"/>
        <w:ind w:firstLine="360" w:firstLineChars="150"/>
        <w:rPr>
          <w:rFonts w:ascii="宋体" w:hAnsi="宋体"/>
          <w:sz w:val="24"/>
          <w:highlight w:val="none"/>
        </w:rPr>
      </w:pPr>
      <w:r>
        <w:rPr>
          <w:rFonts w:ascii="宋体" w:hAnsi="宋体"/>
          <w:sz w:val="24"/>
          <w:highlight w:val="none"/>
        </w:rPr>
        <w:t xml:space="preserve">i. 零部件应有足够的强度和刚度。用于泵和部件组装的所有螺栓、螺帽、垫圈 和其它紧固件必须采用 SUS316 不锈钢制成。所有与液体接触的材料应采用耐腐蚀、 无毒性材料。用非防腐材料制造的所有部件表面均需按本标书中相关条款进行处理。 </w:t>
      </w:r>
    </w:p>
    <w:p>
      <w:pPr>
        <w:spacing w:line="360" w:lineRule="auto"/>
        <w:ind w:firstLine="360" w:firstLineChars="150"/>
        <w:rPr>
          <w:rFonts w:ascii="宋体" w:hAnsi="宋体"/>
          <w:sz w:val="24"/>
          <w:highlight w:val="none"/>
        </w:rPr>
      </w:pPr>
      <w:r>
        <w:rPr>
          <w:rFonts w:ascii="宋体" w:hAnsi="宋体"/>
          <w:sz w:val="24"/>
          <w:highlight w:val="none"/>
        </w:rPr>
        <w:t xml:space="preserve">j. 电动机技术要求： </w:t>
      </w:r>
    </w:p>
    <w:p>
      <w:pPr>
        <w:spacing w:line="360" w:lineRule="auto"/>
        <w:ind w:firstLine="360" w:firstLineChars="150"/>
        <w:rPr>
          <w:rFonts w:ascii="宋体" w:hAnsi="宋体"/>
          <w:sz w:val="24"/>
          <w:highlight w:val="none"/>
        </w:rPr>
      </w:pPr>
      <w:r>
        <w:rPr>
          <w:rFonts w:ascii="宋体" w:hAnsi="宋体"/>
          <w:sz w:val="24"/>
          <w:highlight w:val="none"/>
        </w:rPr>
        <w:t xml:space="preserve">电动机材质及性能应符合《旋转电机基本技术要求》GB755—87 标准及 ASTM 及 IEC 颁发的相关的技术标准。 </w:t>
      </w:r>
    </w:p>
    <w:p>
      <w:pPr>
        <w:spacing w:line="360" w:lineRule="auto"/>
        <w:ind w:firstLine="360" w:firstLineChars="150"/>
        <w:rPr>
          <w:rFonts w:ascii="宋体" w:hAnsi="宋体"/>
          <w:sz w:val="24"/>
          <w:highlight w:val="none"/>
        </w:rPr>
      </w:pPr>
      <w:r>
        <w:rPr>
          <w:rFonts w:ascii="宋体" w:hAnsi="宋体"/>
          <w:sz w:val="24"/>
          <w:highlight w:val="none"/>
        </w:rPr>
        <w:t xml:space="preserve">电动机应适合 380VAC 三相 50Hz 电源操作，电机定子绕组和定子引线的绝缘等级至少为 F 级，外壳防护等级 IP55，立式安装。 </w:t>
      </w:r>
    </w:p>
    <w:p>
      <w:pPr>
        <w:spacing w:line="360" w:lineRule="auto"/>
        <w:ind w:firstLine="360" w:firstLineChars="150"/>
        <w:rPr>
          <w:rFonts w:ascii="宋体" w:hAnsi="宋体"/>
          <w:sz w:val="24"/>
          <w:highlight w:val="none"/>
        </w:rPr>
      </w:pPr>
      <w:r>
        <w:rPr>
          <w:rFonts w:ascii="宋体" w:hAnsi="宋体"/>
          <w:sz w:val="24"/>
          <w:highlight w:val="none"/>
        </w:rPr>
        <w:t xml:space="preserve">k. 轴支承的技术要求： </w:t>
      </w:r>
    </w:p>
    <w:p>
      <w:pPr>
        <w:spacing w:line="360" w:lineRule="auto"/>
        <w:ind w:firstLine="360" w:firstLineChars="150"/>
        <w:rPr>
          <w:rFonts w:ascii="宋体" w:hAnsi="宋体"/>
          <w:sz w:val="24"/>
          <w:highlight w:val="none"/>
        </w:rPr>
      </w:pPr>
      <w:r>
        <w:rPr>
          <w:rFonts w:ascii="宋体" w:hAnsi="宋体"/>
          <w:sz w:val="24"/>
          <w:highlight w:val="none"/>
        </w:rPr>
        <w:t>轴的支承不得伸入池内，应能承受轴、叶轮和出液管等液下部分配件的重量，</w:t>
      </w:r>
    </w:p>
    <w:p>
      <w:pPr>
        <w:spacing w:line="360" w:lineRule="auto"/>
        <w:ind w:firstLine="360" w:firstLineChars="150"/>
        <w:rPr>
          <w:rFonts w:ascii="宋体" w:hAnsi="宋体"/>
          <w:sz w:val="24"/>
          <w:highlight w:val="none"/>
        </w:rPr>
      </w:pPr>
      <w:r>
        <w:rPr>
          <w:rFonts w:ascii="宋体" w:hAnsi="宋体"/>
          <w:sz w:val="24"/>
          <w:highlight w:val="none"/>
        </w:rPr>
        <w:t xml:space="preserve">并可承受泵工作时所带来的扭距、弯距及轴向负荷。 </w:t>
      </w:r>
    </w:p>
    <w:p>
      <w:pPr>
        <w:spacing w:line="360" w:lineRule="auto"/>
        <w:ind w:firstLine="360" w:firstLineChars="150"/>
        <w:rPr>
          <w:rFonts w:ascii="宋体" w:hAnsi="宋体"/>
          <w:sz w:val="24"/>
          <w:highlight w:val="none"/>
        </w:rPr>
      </w:pPr>
      <w:r>
        <w:rPr>
          <w:rFonts w:ascii="宋体" w:hAnsi="宋体"/>
          <w:sz w:val="24"/>
          <w:highlight w:val="none"/>
        </w:rPr>
        <w:t xml:space="preserve">轴的支承轴承应是所提升的药液润滑或采用清水润滑，支承轴承的基本额定寿命应不少于 100,000 小时。 </w:t>
      </w:r>
    </w:p>
    <w:p>
      <w:pPr>
        <w:spacing w:line="360" w:lineRule="auto"/>
        <w:ind w:firstLine="360" w:firstLineChars="150"/>
        <w:rPr>
          <w:rFonts w:ascii="宋体" w:hAnsi="宋体"/>
          <w:sz w:val="24"/>
          <w:highlight w:val="none"/>
        </w:rPr>
      </w:pPr>
      <w:r>
        <w:rPr>
          <w:rFonts w:ascii="宋体" w:hAnsi="宋体"/>
          <w:sz w:val="24"/>
          <w:highlight w:val="none"/>
        </w:rPr>
        <w:t xml:space="preserve">技术指标： </w:t>
      </w:r>
    </w:p>
    <w:p>
      <w:pPr>
        <w:spacing w:line="360" w:lineRule="auto"/>
        <w:ind w:firstLine="360" w:firstLineChars="150"/>
        <w:rPr>
          <w:rFonts w:ascii="宋体" w:hAnsi="宋体"/>
          <w:sz w:val="24"/>
          <w:highlight w:val="none"/>
        </w:rPr>
      </w:pPr>
      <w:r>
        <w:rPr>
          <w:rFonts w:ascii="宋体" w:hAnsi="宋体"/>
          <w:sz w:val="24"/>
          <w:highlight w:val="none"/>
        </w:rPr>
        <w:t xml:space="preserve">流量：Q≈3.6m3/h </w:t>
      </w:r>
    </w:p>
    <w:p>
      <w:pPr>
        <w:spacing w:line="360" w:lineRule="auto"/>
        <w:ind w:firstLine="360" w:firstLineChars="150"/>
        <w:rPr>
          <w:rFonts w:ascii="宋体" w:hAnsi="宋体"/>
          <w:sz w:val="24"/>
          <w:highlight w:val="none"/>
        </w:rPr>
      </w:pPr>
      <w:r>
        <w:rPr>
          <w:rFonts w:ascii="宋体" w:hAnsi="宋体"/>
          <w:sz w:val="24"/>
          <w:highlight w:val="none"/>
        </w:rPr>
        <w:t xml:space="preserve">扬程：H≈16m </w:t>
      </w:r>
    </w:p>
    <w:p>
      <w:pPr>
        <w:spacing w:line="360" w:lineRule="auto"/>
        <w:ind w:firstLine="360" w:firstLineChars="150"/>
        <w:rPr>
          <w:rFonts w:ascii="宋体" w:hAnsi="宋体"/>
          <w:sz w:val="24"/>
          <w:highlight w:val="none"/>
        </w:rPr>
      </w:pPr>
      <w:r>
        <w:rPr>
          <w:rFonts w:ascii="宋体" w:hAnsi="宋体"/>
          <w:sz w:val="24"/>
          <w:highlight w:val="none"/>
        </w:rPr>
        <w:t xml:space="preserve">电机：功率 1.5kw，耐腐蚀泵制造厂家配套。 </w:t>
      </w:r>
    </w:p>
    <w:p>
      <w:pPr>
        <w:spacing w:line="360" w:lineRule="auto"/>
        <w:ind w:firstLine="360" w:firstLineChars="150"/>
        <w:rPr>
          <w:rFonts w:ascii="宋体" w:hAnsi="宋体"/>
          <w:sz w:val="24"/>
          <w:highlight w:val="none"/>
        </w:rPr>
      </w:pPr>
      <w:r>
        <w:rPr>
          <w:rFonts w:ascii="宋体" w:hAnsi="宋体"/>
          <w:sz w:val="24"/>
          <w:highlight w:val="none"/>
        </w:rPr>
        <w:t xml:space="preserve">溶解池深度： 1.2m，详见设计图，长度应满足设计图溶解池深度要求，泵体落于吸水坑，并能固定于池顶。 </w:t>
      </w:r>
    </w:p>
    <w:p>
      <w:pPr>
        <w:rPr>
          <w:highlight w:val="none"/>
        </w:rPr>
      </w:pPr>
    </w:p>
    <w:p>
      <w:pPr>
        <w:pStyle w:val="7"/>
        <w:rPr>
          <w:rStyle w:val="38"/>
          <w:b w:val="0"/>
          <w:bCs/>
          <w:highlight w:val="none"/>
        </w:rPr>
      </w:pPr>
      <w:bookmarkStart w:id="172" w:name="_Toc41211454"/>
      <w:r>
        <w:rPr>
          <w:rStyle w:val="38"/>
          <w:b w:val="0"/>
          <w:bCs w:val="0"/>
          <w:highlight w:val="none"/>
        </w:rPr>
        <w:t>3</w:t>
      </w:r>
      <w:r>
        <w:rPr>
          <w:rStyle w:val="38"/>
          <w:rFonts w:hint="eastAsia"/>
          <w:b w:val="0"/>
          <w:bCs w:val="0"/>
          <w:highlight w:val="none"/>
        </w:rPr>
        <w:t>.9鼓风机专用技术要求</w:t>
      </w:r>
      <w:bookmarkEnd w:id="172"/>
    </w:p>
    <w:p>
      <w:pPr>
        <w:spacing w:line="360" w:lineRule="auto"/>
        <w:ind w:firstLine="480" w:firstLineChars="200"/>
        <w:rPr>
          <w:rFonts w:ascii="宋体" w:hAnsi="宋体"/>
          <w:sz w:val="24"/>
          <w:highlight w:val="none"/>
        </w:rPr>
      </w:pPr>
      <w:r>
        <w:rPr>
          <w:rFonts w:ascii="宋体" w:hAnsi="宋体"/>
          <w:sz w:val="24"/>
          <w:highlight w:val="none"/>
        </w:rPr>
        <w:t>单台鼓风机 Qs=2.4m3/min，P=7.5KW，采用 SRD 低噪音风机，带隔音罩，1 用 1 备</w:t>
      </w:r>
      <w:r>
        <w:rPr>
          <w:rFonts w:hint="eastAsia" w:ascii="宋体" w:hAnsi="宋体"/>
          <w:sz w:val="24"/>
          <w:highlight w:val="none"/>
        </w:rPr>
        <w:t>.</w:t>
      </w:r>
      <w:r>
        <w:rPr>
          <w:rFonts w:ascii="宋体" w:hAnsi="宋体"/>
          <w:sz w:val="24"/>
          <w:highlight w:val="none"/>
        </w:rPr>
        <w:t xml:space="preserve"> </w:t>
      </w:r>
    </w:p>
    <w:p>
      <w:pPr>
        <w:spacing w:line="360" w:lineRule="auto"/>
        <w:ind w:firstLine="360" w:firstLineChars="150"/>
        <w:rPr>
          <w:rFonts w:ascii="宋体" w:hAnsi="宋体"/>
          <w:sz w:val="24"/>
          <w:highlight w:val="none"/>
        </w:rPr>
      </w:pPr>
      <w:r>
        <w:rPr>
          <w:rFonts w:ascii="宋体" w:hAnsi="宋体"/>
          <w:sz w:val="24"/>
          <w:highlight w:val="none"/>
        </w:rPr>
        <w:t xml:space="preserve"> (1)设备应系统供应包括风机、电机、进口过滤消声器、出口消声器、整机消声罩、安全阀、机座、 减振垫、电气控制箱等以及运行时必须的仪表及室内的空气管道、附件等全套装置。</w:t>
      </w:r>
    </w:p>
    <w:p>
      <w:pPr>
        <w:spacing w:line="360" w:lineRule="auto"/>
        <w:ind w:firstLine="360" w:firstLineChars="150"/>
        <w:rPr>
          <w:rFonts w:ascii="宋体" w:hAnsi="宋体"/>
          <w:sz w:val="24"/>
          <w:highlight w:val="none"/>
        </w:rPr>
      </w:pPr>
      <w:r>
        <w:rPr>
          <w:rFonts w:ascii="宋体" w:hAnsi="宋体"/>
          <w:sz w:val="24"/>
          <w:highlight w:val="none"/>
        </w:rPr>
        <w:t xml:space="preserve">(2)鼓风机应满足连续运行、间歇和长期停止状态后恢复运行的各种工况要求，每小时启动次数应满足不少于 6 次，而且不会带来任何有害的影响。 </w:t>
      </w:r>
    </w:p>
    <w:p>
      <w:pPr>
        <w:spacing w:line="360" w:lineRule="auto"/>
        <w:ind w:firstLine="360" w:firstLineChars="150"/>
        <w:rPr>
          <w:rFonts w:ascii="宋体" w:hAnsi="宋体"/>
          <w:sz w:val="24"/>
          <w:highlight w:val="none"/>
        </w:rPr>
      </w:pPr>
      <w:r>
        <w:rPr>
          <w:rFonts w:ascii="宋体" w:hAnsi="宋体"/>
          <w:sz w:val="24"/>
          <w:highlight w:val="none"/>
        </w:rPr>
        <w:t xml:space="preserve">(3)鼓风机在全负荷运行时应稳定，旋转部件按有关标准规定必须做静、动平衡 测试，叶轮动平衡等级不低于 G6.25 级。 </w:t>
      </w:r>
    </w:p>
    <w:p>
      <w:pPr>
        <w:spacing w:line="360" w:lineRule="auto"/>
        <w:ind w:firstLine="360" w:firstLineChars="150"/>
        <w:rPr>
          <w:rFonts w:ascii="宋体" w:hAnsi="宋体"/>
          <w:sz w:val="24"/>
          <w:highlight w:val="none"/>
        </w:rPr>
      </w:pPr>
      <w:r>
        <w:rPr>
          <w:rFonts w:ascii="宋体" w:hAnsi="宋体"/>
          <w:sz w:val="24"/>
          <w:highlight w:val="none"/>
        </w:rPr>
        <w:t xml:space="preserve">(4)任何一台鼓风机以额定输出工作时，在鼓风机房内距离鼓风机 1m 的噪音不 超过 80 分贝。消声罩应配置在每一台鼓风机上，以达到规定的噪音水平，消声罩应方便拆卸。检修门加上必需的检修窗将方便鼓风机的日常观察和检修。 </w:t>
      </w:r>
    </w:p>
    <w:p>
      <w:pPr>
        <w:spacing w:line="360" w:lineRule="auto"/>
        <w:ind w:firstLine="360" w:firstLineChars="150"/>
        <w:rPr>
          <w:rFonts w:ascii="宋体" w:hAnsi="宋体"/>
          <w:sz w:val="24"/>
          <w:highlight w:val="none"/>
        </w:rPr>
      </w:pPr>
      <w:r>
        <w:rPr>
          <w:rFonts w:ascii="宋体" w:hAnsi="宋体"/>
          <w:sz w:val="24"/>
          <w:highlight w:val="none"/>
        </w:rPr>
        <w:t>(5)通过变频电动机调节，在调试运行阶段，可达到滤池反冲洗最优效果。</w:t>
      </w:r>
    </w:p>
    <w:p>
      <w:pPr>
        <w:spacing w:line="360" w:lineRule="auto"/>
        <w:ind w:firstLine="360" w:firstLineChars="150"/>
        <w:rPr>
          <w:rFonts w:ascii="宋体" w:hAnsi="宋体"/>
          <w:sz w:val="24"/>
          <w:highlight w:val="none"/>
        </w:rPr>
      </w:pPr>
      <w:r>
        <w:rPr>
          <w:rFonts w:ascii="宋体" w:hAnsi="宋体"/>
          <w:sz w:val="24"/>
          <w:highlight w:val="none"/>
        </w:rPr>
        <w:t>(6)外壳内外表面经机加工后应光滑，无疵瑕，外壳材料应是铸铁 GG20。壳体要有足够的厚度来承受所有的负荷。</w:t>
      </w:r>
    </w:p>
    <w:p>
      <w:pPr>
        <w:spacing w:line="360" w:lineRule="auto"/>
        <w:ind w:firstLine="360" w:firstLineChars="150"/>
        <w:rPr>
          <w:rFonts w:ascii="宋体" w:hAnsi="宋体"/>
          <w:sz w:val="24"/>
          <w:highlight w:val="none"/>
        </w:rPr>
      </w:pPr>
      <w:r>
        <w:rPr>
          <w:rFonts w:ascii="宋体" w:hAnsi="宋体"/>
          <w:sz w:val="24"/>
          <w:highlight w:val="none"/>
        </w:rPr>
        <w:t>转子材料应是球墨铸铁 GG40。</w:t>
      </w:r>
    </w:p>
    <w:p>
      <w:pPr>
        <w:spacing w:line="360" w:lineRule="auto"/>
        <w:ind w:firstLine="360" w:firstLineChars="150"/>
        <w:rPr>
          <w:rFonts w:ascii="宋体" w:hAnsi="宋体"/>
          <w:sz w:val="24"/>
          <w:highlight w:val="none"/>
        </w:rPr>
      </w:pPr>
      <w:r>
        <w:rPr>
          <w:rFonts w:ascii="宋体" w:hAnsi="宋体"/>
          <w:sz w:val="24"/>
          <w:highlight w:val="none"/>
        </w:rPr>
        <w:t>齿轮材料为合金钢 20CrMnTi 或不低于以上材料。</w:t>
      </w:r>
    </w:p>
    <w:p>
      <w:pPr>
        <w:spacing w:line="360" w:lineRule="auto"/>
        <w:ind w:firstLine="360" w:firstLineChars="150"/>
        <w:rPr>
          <w:rFonts w:ascii="宋体" w:hAnsi="宋体"/>
          <w:sz w:val="24"/>
          <w:highlight w:val="none"/>
        </w:rPr>
      </w:pPr>
      <w:r>
        <w:rPr>
          <w:rFonts w:ascii="宋体" w:hAnsi="宋体"/>
          <w:sz w:val="24"/>
          <w:highlight w:val="none"/>
        </w:rPr>
        <w:t>轴材料为合金刚 45#钢或不低于以上材料。</w:t>
      </w:r>
    </w:p>
    <w:p>
      <w:pPr>
        <w:spacing w:line="360" w:lineRule="auto"/>
        <w:ind w:firstLine="360" w:firstLineChars="150"/>
        <w:rPr>
          <w:rFonts w:ascii="宋体" w:hAnsi="宋体"/>
          <w:sz w:val="24"/>
          <w:highlight w:val="none"/>
        </w:rPr>
      </w:pPr>
      <w:r>
        <w:rPr>
          <w:rFonts w:ascii="宋体" w:hAnsi="宋体"/>
          <w:sz w:val="24"/>
          <w:highlight w:val="none"/>
        </w:rPr>
        <w:t xml:space="preserve">轴承使用寿命不低于 100,000 小时。 </w:t>
      </w:r>
    </w:p>
    <w:p>
      <w:pPr>
        <w:spacing w:line="360" w:lineRule="auto"/>
        <w:ind w:firstLine="360" w:firstLineChars="150"/>
        <w:rPr>
          <w:rFonts w:ascii="宋体" w:hAnsi="宋体"/>
          <w:sz w:val="24"/>
          <w:highlight w:val="none"/>
        </w:rPr>
      </w:pPr>
      <w:r>
        <w:rPr>
          <w:rFonts w:ascii="宋体" w:hAnsi="宋体"/>
          <w:sz w:val="24"/>
          <w:highlight w:val="none"/>
        </w:rPr>
        <w:t xml:space="preserve">(7)鼓风机轴承和齿轮的润滑系统不允许造成鼓风机出气带油。如果润滑油和轴承 温度升高，常闭的热敏开关将触发二级报警信号。 </w:t>
      </w:r>
    </w:p>
    <w:p>
      <w:pPr>
        <w:spacing w:line="360" w:lineRule="auto"/>
        <w:ind w:firstLine="360" w:firstLineChars="150"/>
        <w:rPr>
          <w:rFonts w:ascii="宋体" w:hAnsi="宋体"/>
          <w:sz w:val="24"/>
          <w:highlight w:val="none"/>
        </w:rPr>
      </w:pPr>
      <w:r>
        <w:rPr>
          <w:rFonts w:ascii="宋体" w:hAnsi="宋体"/>
          <w:sz w:val="24"/>
          <w:highlight w:val="none"/>
        </w:rPr>
        <w:t>(8)电机为鼠笼式感应电机，转速 n≤1500rpm，380V 交流电，3 相，50Hz，电 机效率&gt;90%。电机必须设计成能连续运转，每小时必须至少起动 6 次，而不会引起任何有害影响。电机的定子绕组应有温度超载传感器，嵌设在定子绕组的三只终端线圈上，并配置热保护开关以便超温时停机。</w:t>
      </w:r>
    </w:p>
    <w:p>
      <w:pPr>
        <w:pStyle w:val="28"/>
        <w:rPr>
          <w:highlight w:val="none"/>
        </w:rPr>
      </w:pPr>
    </w:p>
    <w:p>
      <w:pPr>
        <w:pStyle w:val="28"/>
        <w:rPr>
          <w:highlight w:val="none"/>
        </w:rPr>
      </w:pPr>
    </w:p>
    <w:p>
      <w:pPr>
        <w:spacing w:line="360" w:lineRule="auto"/>
        <w:ind w:firstLine="360" w:firstLineChars="150"/>
        <w:rPr>
          <w:rFonts w:ascii="宋体" w:hAnsi="宋体"/>
          <w:sz w:val="24"/>
          <w:highlight w:val="none"/>
        </w:rPr>
      </w:pPr>
    </w:p>
    <w:p>
      <w:pPr>
        <w:pStyle w:val="2"/>
        <w:rPr>
          <w:highlight w:val="none"/>
        </w:rPr>
      </w:pPr>
    </w:p>
    <w:p>
      <w:pPr>
        <w:spacing w:line="360" w:lineRule="auto"/>
        <w:rPr>
          <w:rFonts w:ascii="宋体" w:hAnsi="宋体"/>
          <w:sz w:val="24"/>
          <w:highlight w:val="none"/>
        </w:rPr>
      </w:pPr>
    </w:p>
    <w:p>
      <w:pPr>
        <w:rPr>
          <w:highlight w:val="none"/>
        </w:rPr>
      </w:pPr>
    </w:p>
    <w:p>
      <w:pPr>
        <w:pStyle w:val="7"/>
        <w:rPr>
          <w:rStyle w:val="38"/>
          <w:b w:val="0"/>
          <w:bCs/>
          <w:highlight w:val="none"/>
        </w:rPr>
      </w:pPr>
      <w:bookmarkStart w:id="173" w:name="_Toc41211455"/>
      <w:r>
        <w:rPr>
          <w:rStyle w:val="38"/>
          <w:b w:val="0"/>
          <w:bCs w:val="0"/>
          <w:highlight w:val="none"/>
        </w:rPr>
        <w:t>3</w:t>
      </w:r>
      <w:r>
        <w:rPr>
          <w:rStyle w:val="38"/>
          <w:rFonts w:hint="eastAsia"/>
          <w:b w:val="0"/>
          <w:bCs w:val="0"/>
          <w:highlight w:val="none"/>
        </w:rPr>
        <w:t>.10</w:t>
      </w:r>
      <w:r>
        <w:rPr>
          <w:rStyle w:val="38"/>
          <w:b w:val="0"/>
          <w:bCs w:val="0"/>
          <w:highlight w:val="none"/>
        </w:rPr>
        <w:t>防爆轴流风机</w:t>
      </w:r>
      <w:r>
        <w:rPr>
          <w:rStyle w:val="38"/>
          <w:rFonts w:hint="eastAsia"/>
          <w:b w:val="0"/>
          <w:bCs w:val="0"/>
          <w:highlight w:val="none"/>
        </w:rPr>
        <w:t>专用技术要求</w:t>
      </w:r>
      <w:bookmarkEnd w:id="173"/>
    </w:p>
    <w:p>
      <w:pPr>
        <w:spacing w:line="360" w:lineRule="auto"/>
        <w:ind w:firstLine="360" w:firstLineChars="150"/>
        <w:rPr>
          <w:rFonts w:ascii="宋体" w:hAnsi="宋体"/>
          <w:sz w:val="24"/>
          <w:highlight w:val="none"/>
        </w:rPr>
      </w:pPr>
      <w:r>
        <w:rPr>
          <w:rFonts w:ascii="宋体" w:hAnsi="宋体"/>
          <w:sz w:val="24"/>
          <w:highlight w:val="none"/>
        </w:rPr>
        <w:t xml:space="preserve">3.10.1 概述 </w:t>
      </w:r>
    </w:p>
    <w:p>
      <w:pPr>
        <w:spacing w:line="360" w:lineRule="auto"/>
        <w:ind w:firstLine="360" w:firstLineChars="150"/>
        <w:rPr>
          <w:rFonts w:ascii="宋体" w:hAnsi="宋体"/>
          <w:sz w:val="24"/>
          <w:highlight w:val="none"/>
        </w:rPr>
      </w:pPr>
      <w:r>
        <w:rPr>
          <w:rFonts w:ascii="宋体" w:hAnsi="宋体"/>
          <w:sz w:val="24"/>
          <w:highlight w:val="none"/>
        </w:rPr>
        <w:t xml:space="preserve">轴流式风机通常用在流量要求较高而压力要求较低的场合。轴流式风机固定位置并使空气移动。 </w:t>
      </w:r>
    </w:p>
    <w:p>
      <w:pPr>
        <w:spacing w:line="360" w:lineRule="auto"/>
        <w:ind w:firstLine="360" w:firstLineChars="150"/>
        <w:rPr>
          <w:rFonts w:ascii="宋体" w:hAnsi="宋体"/>
          <w:sz w:val="24"/>
          <w:highlight w:val="none"/>
        </w:rPr>
      </w:pPr>
      <w:r>
        <w:rPr>
          <w:rFonts w:ascii="宋体" w:hAnsi="宋体"/>
          <w:sz w:val="24"/>
          <w:highlight w:val="none"/>
        </w:rPr>
        <w:t xml:space="preserve">3.10.2 技术参数 </w:t>
      </w:r>
    </w:p>
    <w:p>
      <w:pPr>
        <w:spacing w:line="360" w:lineRule="auto"/>
        <w:ind w:firstLine="360" w:firstLineChars="150"/>
        <w:rPr>
          <w:rFonts w:ascii="宋体" w:hAnsi="宋体"/>
          <w:sz w:val="24"/>
          <w:highlight w:val="none"/>
        </w:rPr>
      </w:pPr>
      <w:r>
        <w:rPr>
          <w:rFonts w:ascii="宋体" w:hAnsi="宋体"/>
          <w:sz w:val="24"/>
          <w:highlight w:val="none"/>
        </w:rPr>
        <w:t xml:space="preserve">见施工图纸，并配套提供风管、风口、软接头、防护网等全套配件。 </w:t>
      </w:r>
    </w:p>
    <w:p>
      <w:pPr>
        <w:spacing w:line="360" w:lineRule="auto"/>
        <w:ind w:firstLine="360" w:firstLineChars="150"/>
        <w:rPr>
          <w:rFonts w:ascii="宋体" w:hAnsi="宋体"/>
          <w:sz w:val="24"/>
          <w:highlight w:val="none"/>
        </w:rPr>
      </w:pPr>
      <w:r>
        <w:rPr>
          <w:rFonts w:ascii="宋体" w:hAnsi="宋体"/>
          <w:sz w:val="24"/>
          <w:highlight w:val="none"/>
        </w:rPr>
        <w:t xml:space="preserve">3.10.3 构造与材料 </w:t>
      </w:r>
    </w:p>
    <w:p>
      <w:pPr>
        <w:spacing w:line="360" w:lineRule="auto"/>
        <w:ind w:firstLine="360" w:firstLineChars="150"/>
        <w:rPr>
          <w:rFonts w:ascii="宋体" w:hAnsi="宋体"/>
          <w:sz w:val="24"/>
          <w:highlight w:val="none"/>
        </w:rPr>
      </w:pPr>
      <w:r>
        <w:rPr>
          <w:rFonts w:ascii="宋体" w:hAnsi="宋体"/>
          <w:sz w:val="24"/>
          <w:highlight w:val="none"/>
        </w:rPr>
        <w:t xml:space="preserve">风机采用耐氯腐蚀的硬聚氯乙烯材料制成。进出口为凸面型法兰连接，在设计工况运行条件下，轴承温度应不高于 70℃。风机应有明显的旋转方向指示标记。投标时，设备商应提供风机性能曲线，包括风量与风压、转速、轴功率、噪声等。 </w:t>
      </w:r>
    </w:p>
    <w:p>
      <w:pPr>
        <w:spacing w:line="360" w:lineRule="auto"/>
        <w:ind w:firstLine="360" w:firstLineChars="150"/>
        <w:rPr>
          <w:rFonts w:ascii="宋体" w:hAnsi="宋体"/>
          <w:sz w:val="24"/>
          <w:highlight w:val="none"/>
        </w:rPr>
      </w:pPr>
      <w:r>
        <w:rPr>
          <w:rFonts w:ascii="宋体" w:hAnsi="宋体"/>
          <w:sz w:val="24"/>
          <w:highlight w:val="none"/>
        </w:rPr>
        <w:t xml:space="preserve">机型：离心式 </w:t>
      </w:r>
    </w:p>
    <w:p>
      <w:pPr>
        <w:spacing w:line="360" w:lineRule="auto"/>
        <w:ind w:firstLine="360" w:firstLineChars="150"/>
        <w:rPr>
          <w:rFonts w:ascii="宋体" w:hAnsi="宋体"/>
          <w:sz w:val="24"/>
          <w:highlight w:val="none"/>
        </w:rPr>
      </w:pPr>
      <w:r>
        <w:rPr>
          <w:rFonts w:ascii="宋体" w:hAnsi="宋体"/>
          <w:sz w:val="24"/>
          <w:highlight w:val="none"/>
        </w:rPr>
        <w:t xml:space="preserve">电源：380VAC/3PH/50Hz，±10% 噪音：&lt;80dB（A） </w:t>
      </w:r>
    </w:p>
    <w:p>
      <w:pPr>
        <w:spacing w:line="360" w:lineRule="auto"/>
        <w:ind w:firstLine="360" w:firstLineChars="150"/>
        <w:rPr>
          <w:rFonts w:ascii="宋体" w:hAnsi="宋体"/>
          <w:sz w:val="24"/>
          <w:highlight w:val="none"/>
        </w:rPr>
      </w:pPr>
      <w:r>
        <w:rPr>
          <w:rFonts w:ascii="宋体" w:hAnsi="宋体"/>
          <w:sz w:val="24"/>
          <w:highlight w:val="none"/>
        </w:rPr>
        <w:t xml:space="preserve">电机防护等级：IP55 </w:t>
      </w:r>
    </w:p>
    <w:p>
      <w:pPr>
        <w:spacing w:line="360" w:lineRule="auto"/>
        <w:ind w:firstLine="360" w:firstLineChars="150"/>
        <w:rPr>
          <w:rFonts w:ascii="宋体" w:hAnsi="宋体"/>
          <w:sz w:val="24"/>
          <w:highlight w:val="none"/>
        </w:rPr>
      </w:pPr>
      <w:r>
        <w:rPr>
          <w:rFonts w:ascii="宋体" w:hAnsi="宋体"/>
          <w:sz w:val="24"/>
          <w:highlight w:val="none"/>
        </w:rPr>
        <w:t xml:space="preserve">绝缘等级： F </w:t>
      </w:r>
    </w:p>
    <w:p>
      <w:pPr>
        <w:rPr>
          <w:highlight w:val="none"/>
        </w:rPr>
      </w:pPr>
    </w:p>
    <w:p>
      <w:pPr>
        <w:pStyle w:val="7"/>
        <w:rPr>
          <w:rStyle w:val="38"/>
          <w:b w:val="0"/>
          <w:bCs/>
          <w:highlight w:val="none"/>
        </w:rPr>
      </w:pPr>
      <w:bookmarkStart w:id="174" w:name="_Toc41211456"/>
      <w:r>
        <w:rPr>
          <w:rStyle w:val="38"/>
          <w:b w:val="0"/>
          <w:bCs w:val="0"/>
          <w:highlight w:val="none"/>
        </w:rPr>
        <w:t>3</w:t>
      </w:r>
      <w:r>
        <w:rPr>
          <w:rStyle w:val="38"/>
          <w:rFonts w:hint="eastAsia"/>
          <w:b w:val="0"/>
          <w:bCs w:val="0"/>
          <w:highlight w:val="none"/>
        </w:rPr>
        <w:t>.11铸铁镶铜方形闸门专用技术要求</w:t>
      </w:r>
      <w:bookmarkEnd w:id="174"/>
    </w:p>
    <w:p>
      <w:pPr>
        <w:spacing w:line="360" w:lineRule="auto"/>
        <w:ind w:firstLine="360" w:firstLineChars="150"/>
        <w:rPr>
          <w:rFonts w:ascii="宋体" w:hAnsi="宋体"/>
          <w:sz w:val="24"/>
          <w:highlight w:val="none"/>
        </w:rPr>
      </w:pPr>
      <w:r>
        <w:rPr>
          <w:rFonts w:ascii="宋体" w:hAnsi="宋体"/>
          <w:sz w:val="24"/>
          <w:highlight w:val="none"/>
        </w:rPr>
        <w:t xml:space="preserve">手（电）动铸铁镶铜闸门用于排泥水调节池进口，附壁安装，通过或切断水体流过池壁洞口。 </w:t>
      </w:r>
    </w:p>
    <w:p>
      <w:pPr>
        <w:spacing w:line="360" w:lineRule="auto"/>
        <w:ind w:firstLine="360" w:firstLineChars="150"/>
        <w:rPr>
          <w:rFonts w:ascii="宋体" w:hAnsi="宋体"/>
          <w:sz w:val="24"/>
          <w:highlight w:val="none"/>
        </w:rPr>
      </w:pPr>
      <w:r>
        <w:rPr>
          <w:rFonts w:ascii="宋体" w:hAnsi="宋体"/>
          <w:sz w:val="24"/>
          <w:highlight w:val="none"/>
        </w:rPr>
        <w:t xml:space="preserve">3.11.1 范围 </w:t>
      </w:r>
    </w:p>
    <w:p>
      <w:pPr>
        <w:spacing w:line="360" w:lineRule="auto"/>
        <w:ind w:firstLine="360" w:firstLineChars="150"/>
        <w:rPr>
          <w:rFonts w:ascii="宋体" w:hAnsi="宋体"/>
          <w:sz w:val="24"/>
          <w:highlight w:val="none"/>
        </w:rPr>
      </w:pPr>
      <w:r>
        <w:rPr>
          <w:rFonts w:ascii="宋体" w:hAnsi="宋体"/>
          <w:sz w:val="24"/>
          <w:highlight w:val="none"/>
        </w:rPr>
        <w:t xml:space="preserve">包括门框、门体、导轨、楔紧装置、密封面、吊耳、紧固件等，还需配套手（电）动启闭机。 </w:t>
      </w:r>
    </w:p>
    <w:p>
      <w:pPr>
        <w:spacing w:line="360" w:lineRule="auto"/>
        <w:ind w:firstLine="360" w:firstLineChars="150"/>
        <w:rPr>
          <w:rFonts w:ascii="宋体" w:hAnsi="宋体"/>
          <w:sz w:val="24"/>
          <w:highlight w:val="none"/>
        </w:rPr>
      </w:pPr>
      <w:r>
        <w:rPr>
          <w:rFonts w:ascii="宋体" w:hAnsi="宋体"/>
          <w:sz w:val="24"/>
          <w:highlight w:val="none"/>
        </w:rPr>
        <w:t xml:space="preserve">3.11.2 技术参数 </w:t>
      </w:r>
    </w:p>
    <w:p>
      <w:pPr>
        <w:spacing w:line="360" w:lineRule="auto"/>
        <w:ind w:firstLine="360" w:firstLineChars="150"/>
        <w:rPr>
          <w:rFonts w:ascii="宋体" w:hAnsi="宋体"/>
          <w:sz w:val="24"/>
          <w:highlight w:val="none"/>
        </w:rPr>
      </w:pPr>
      <w:r>
        <w:rPr>
          <w:rFonts w:ascii="宋体" w:hAnsi="宋体"/>
          <w:sz w:val="24"/>
          <w:highlight w:val="none"/>
        </w:rPr>
        <w:t xml:space="preserve">矩形闸门的宽×高（1000×1000）或圆形闸门的直径（φ），闸门中心至启闭机底座的 高度 H，正向承压，安装形式：附壁式，启闭机启闭力 G，启动方式手（电）动。 </w:t>
      </w:r>
    </w:p>
    <w:p>
      <w:pPr>
        <w:spacing w:line="360" w:lineRule="auto"/>
        <w:ind w:firstLine="360" w:firstLineChars="150"/>
        <w:rPr>
          <w:rFonts w:ascii="宋体" w:hAnsi="宋体"/>
          <w:sz w:val="24"/>
          <w:highlight w:val="none"/>
        </w:rPr>
      </w:pPr>
      <w:r>
        <w:rPr>
          <w:rFonts w:ascii="宋体" w:hAnsi="宋体"/>
          <w:sz w:val="24"/>
          <w:highlight w:val="none"/>
        </w:rPr>
        <w:t xml:space="preserve">闸门的渗漏量：当正向承压应≤0.5L/min.m </w:t>
      </w:r>
    </w:p>
    <w:p>
      <w:pPr>
        <w:spacing w:line="360" w:lineRule="auto"/>
        <w:ind w:firstLine="360" w:firstLineChars="150"/>
        <w:rPr>
          <w:rFonts w:ascii="宋体" w:hAnsi="宋体"/>
          <w:sz w:val="24"/>
          <w:highlight w:val="none"/>
        </w:rPr>
      </w:pPr>
      <w:r>
        <w:rPr>
          <w:rFonts w:ascii="宋体" w:hAnsi="宋体"/>
          <w:sz w:val="24"/>
          <w:highlight w:val="none"/>
        </w:rPr>
        <w:t xml:space="preserve">当反向承压应≤0.7L/min.m 具体规格详施工图。 </w:t>
      </w:r>
    </w:p>
    <w:p>
      <w:pPr>
        <w:spacing w:line="360" w:lineRule="auto"/>
        <w:ind w:firstLine="360" w:firstLineChars="150"/>
        <w:rPr>
          <w:rFonts w:ascii="宋体" w:hAnsi="宋体"/>
          <w:sz w:val="24"/>
          <w:highlight w:val="none"/>
        </w:rPr>
      </w:pPr>
      <w:r>
        <w:rPr>
          <w:rFonts w:ascii="宋体" w:hAnsi="宋体"/>
          <w:sz w:val="24"/>
          <w:highlight w:val="none"/>
        </w:rPr>
        <w:t xml:space="preserve">3.11.3 主要结构及工作原理 </w:t>
      </w:r>
    </w:p>
    <w:p>
      <w:pPr>
        <w:spacing w:line="360" w:lineRule="auto"/>
        <w:ind w:firstLine="360" w:firstLineChars="150"/>
        <w:rPr>
          <w:rFonts w:ascii="宋体" w:hAnsi="宋体"/>
          <w:sz w:val="24"/>
          <w:highlight w:val="none"/>
        </w:rPr>
      </w:pPr>
      <w:r>
        <w:rPr>
          <w:rFonts w:ascii="宋体" w:hAnsi="宋体"/>
          <w:sz w:val="24"/>
          <w:highlight w:val="none"/>
        </w:rPr>
        <w:t xml:space="preserve">铸铁镶铜闸门主要由门框、门体、导轨、楔紧装置、密封面等部件组成。 </w:t>
      </w:r>
    </w:p>
    <w:p>
      <w:pPr>
        <w:spacing w:line="360" w:lineRule="auto"/>
        <w:ind w:firstLine="360" w:firstLineChars="150"/>
        <w:rPr>
          <w:rFonts w:ascii="宋体" w:hAnsi="宋体"/>
          <w:sz w:val="24"/>
          <w:highlight w:val="none"/>
        </w:rPr>
      </w:pPr>
      <w:r>
        <w:rPr>
          <w:rFonts w:ascii="宋体" w:hAnsi="宋体"/>
          <w:sz w:val="24"/>
          <w:highlight w:val="none"/>
        </w:rPr>
        <w:t xml:space="preserve">（1）主要结构： </w:t>
      </w:r>
    </w:p>
    <w:p>
      <w:pPr>
        <w:spacing w:line="360" w:lineRule="auto"/>
        <w:ind w:firstLine="360" w:firstLineChars="150"/>
        <w:rPr>
          <w:rFonts w:ascii="宋体" w:hAnsi="宋体"/>
          <w:sz w:val="24"/>
          <w:highlight w:val="none"/>
        </w:rPr>
      </w:pPr>
      <w:r>
        <w:rPr>
          <w:rFonts w:ascii="宋体" w:hAnsi="宋体"/>
          <w:sz w:val="24"/>
          <w:highlight w:val="none"/>
        </w:rPr>
        <w:t xml:space="preserve">1）门框由铸铁整体浇铸而成，门框两侧自带导槽，精加工之后作门体升降的导轨。门框平面经龙门刨及立车精加工并分别加工一道槽，以便镶入青铜密封面。 </w:t>
      </w:r>
    </w:p>
    <w:p>
      <w:pPr>
        <w:spacing w:line="360" w:lineRule="auto"/>
        <w:ind w:firstLine="360" w:firstLineChars="150"/>
        <w:rPr>
          <w:rFonts w:ascii="宋体" w:hAnsi="宋体"/>
          <w:sz w:val="24"/>
          <w:highlight w:val="none"/>
        </w:rPr>
      </w:pPr>
      <w:r>
        <w:rPr>
          <w:rFonts w:ascii="宋体" w:hAnsi="宋体"/>
          <w:sz w:val="24"/>
          <w:highlight w:val="none"/>
        </w:rPr>
        <w:t xml:space="preserve">2）门体为整体铸造的方形或圆形平板，并在迎水面自带“＃”字形的加强筋， 加强筋的数量视闸门规格大小而定，一般间距为 250-350mm 之间，门体平面精加工 并带有镶铜条的槽，以便镶入青铜密封面，门体两侧精加工与门框侧槽配合，形成上下滑轨。门体上端有吊耳，吊耳为铸钢，门体与吊耳的两接触面精加工之后用螺 栓固定，吊耳的销轴孔用镗床加工。 </w:t>
      </w:r>
    </w:p>
    <w:p>
      <w:pPr>
        <w:spacing w:line="360" w:lineRule="auto"/>
        <w:ind w:firstLine="360" w:firstLineChars="150"/>
        <w:rPr>
          <w:rFonts w:ascii="宋体" w:hAnsi="宋体"/>
          <w:sz w:val="24"/>
          <w:highlight w:val="none"/>
        </w:rPr>
      </w:pPr>
      <w:r>
        <w:rPr>
          <w:rFonts w:ascii="宋体" w:hAnsi="宋体"/>
          <w:sz w:val="24"/>
          <w:highlight w:val="none"/>
        </w:rPr>
        <w:t xml:space="preserve">3）导轨用铸铁制作，导轨面加工成与门框一样的槽，并在平面上镶入青铜，减少门体上下运行时的摩擦力。导轨和门框连接的接触部位精加工，用螺栓联接，并设有定位销防止错位。 </w:t>
      </w:r>
    </w:p>
    <w:p>
      <w:pPr>
        <w:spacing w:line="360" w:lineRule="auto"/>
        <w:ind w:firstLine="360" w:firstLineChars="150"/>
        <w:rPr>
          <w:rFonts w:ascii="宋体" w:hAnsi="宋体"/>
          <w:sz w:val="24"/>
          <w:highlight w:val="none"/>
        </w:rPr>
      </w:pPr>
      <w:r>
        <w:rPr>
          <w:rFonts w:ascii="宋体" w:hAnsi="宋体"/>
          <w:sz w:val="24"/>
          <w:highlight w:val="none"/>
        </w:rPr>
        <w:t xml:space="preserve">4）锲紧装置：为达到闸门的止水效果，闸门两侧设置楔块。楔块用锡青铜制成，用螺栓分别与门体和门框上的楔座固定，楔座铣成长孔，便于楔块的调整。为 达到双向止水效果，在闸门上下增设楔紧装置。 </w:t>
      </w:r>
    </w:p>
    <w:p>
      <w:pPr>
        <w:spacing w:line="360" w:lineRule="auto"/>
        <w:ind w:firstLine="360" w:firstLineChars="150"/>
        <w:rPr>
          <w:rFonts w:ascii="宋体" w:hAnsi="宋体"/>
          <w:sz w:val="24"/>
          <w:highlight w:val="none"/>
        </w:rPr>
      </w:pPr>
      <w:r>
        <w:rPr>
          <w:rFonts w:ascii="宋体" w:hAnsi="宋体"/>
          <w:sz w:val="24"/>
          <w:highlight w:val="none"/>
        </w:rPr>
        <w:t xml:space="preserve">5）密封面采用铜条或铜圈分别镶入门框和门体的槽内，密封面应保证门框和门体之间的密切配合。 </w:t>
      </w:r>
    </w:p>
    <w:p>
      <w:pPr>
        <w:spacing w:line="360" w:lineRule="auto"/>
        <w:ind w:firstLine="360" w:firstLineChars="150"/>
        <w:rPr>
          <w:rFonts w:ascii="宋体" w:hAnsi="宋体"/>
          <w:sz w:val="24"/>
          <w:highlight w:val="none"/>
        </w:rPr>
      </w:pPr>
      <w:r>
        <w:rPr>
          <w:rFonts w:ascii="宋体" w:hAnsi="宋体"/>
          <w:sz w:val="24"/>
          <w:highlight w:val="none"/>
        </w:rPr>
        <w:t>6）丝杆由圆钢制成梯形螺纹，其精度达到 7e 级标准，螺纹长度比门体行程高度加长 200mm，闸门处于关闭位置时，螺纹超出启闭机 50mm，丝杆总长度超过 5000mm 时，需作分段加工，其接头采用圆钢加工成内圆孔，并用圆钢铰制螺栓将 丝杆和接头固定。接头用固定工装加工，可与相同规格的丝杆互换配合。丝杆总长 度超过 4000mm 时，需增设轴导架，轴导架由铸铁衬套管安装在铸铁托架上组成，</w:t>
      </w:r>
    </w:p>
    <w:p>
      <w:pPr>
        <w:spacing w:line="360" w:lineRule="auto"/>
        <w:ind w:firstLine="360" w:firstLineChars="150"/>
        <w:rPr>
          <w:rFonts w:ascii="宋体" w:hAnsi="宋体"/>
          <w:sz w:val="24"/>
          <w:highlight w:val="none"/>
        </w:rPr>
      </w:pPr>
      <w:r>
        <w:rPr>
          <w:rFonts w:ascii="宋体" w:hAnsi="宋体"/>
          <w:sz w:val="24"/>
          <w:highlight w:val="none"/>
        </w:rPr>
        <w:t xml:space="preserve">铸铁托架固定在池壁上，导管与托架都可在两个方向进行调节，丝杆下部焊有圆钢销套，用销轴与门体相连。 </w:t>
      </w:r>
    </w:p>
    <w:p>
      <w:pPr>
        <w:spacing w:line="360" w:lineRule="auto"/>
        <w:ind w:firstLine="360" w:firstLineChars="150"/>
        <w:rPr>
          <w:rFonts w:ascii="宋体" w:hAnsi="宋体"/>
          <w:sz w:val="24"/>
          <w:highlight w:val="none"/>
        </w:rPr>
      </w:pPr>
      <w:r>
        <w:rPr>
          <w:rFonts w:ascii="宋体" w:hAnsi="宋体"/>
          <w:sz w:val="24"/>
          <w:highlight w:val="none"/>
        </w:rPr>
        <w:t xml:space="preserve">7）所有铸铁部件的最小厚度〉20mm。 </w:t>
      </w:r>
    </w:p>
    <w:p>
      <w:pPr>
        <w:spacing w:line="360" w:lineRule="auto"/>
        <w:ind w:firstLine="360" w:firstLineChars="150"/>
        <w:rPr>
          <w:rFonts w:ascii="宋体" w:hAnsi="宋体"/>
          <w:sz w:val="24"/>
          <w:highlight w:val="none"/>
        </w:rPr>
      </w:pPr>
      <w:r>
        <w:rPr>
          <w:rFonts w:ascii="宋体" w:hAnsi="宋体"/>
          <w:sz w:val="24"/>
          <w:highlight w:val="none"/>
        </w:rPr>
        <w:t xml:space="preserve">8）门框、门体按最大工作水头设计，其拉伸、压缩和剪切强度的安全系数不小于 5，挠度不大于构件长度的 1/1500，导轨的拉伸、压缩和剪切强度的安全系数不小于 5。 </w:t>
      </w:r>
    </w:p>
    <w:p>
      <w:pPr>
        <w:spacing w:line="360" w:lineRule="auto"/>
        <w:ind w:firstLine="360" w:firstLineChars="150"/>
        <w:rPr>
          <w:rFonts w:ascii="宋体" w:hAnsi="宋体"/>
          <w:sz w:val="24"/>
          <w:highlight w:val="none"/>
        </w:rPr>
      </w:pPr>
      <w:r>
        <w:rPr>
          <w:rFonts w:ascii="宋体" w:hAnsi="宋体"/>
          <w:sz w:val="24"/>
          <w:highlight w:val="none"/>
        </w:rPr>
        <w:t xml:space="preserve">9）设备制造商需具有树脂砂铸型能力以保证闸门槽板的平整及密封性。 </w:t>
      </w:r>
    </w:p>
    <w:p>
      <w:pPr>
        <w:spacing w:line="360" w:lineRule="auto"/>
        <w:ind w:firstLine="360" w:firstLineChars="150"/>
        <w:rPr>
          <w:rFonts w:ascii="宋体" w:hAnsi="宋体"/>
          <w:sz w:val="24"/>
          <w:highlight w:val="none"/>
        </w:rPr>
      </w:pPr>
      <w:r>
        <w:rPr>
          <w:rFonts w:ascii="宋体" w:hAnsi="宋体"/>
          <w:sz w:val="24"/>
          <w:highlight w:val="none"/>
        </w:rPr>
        <w:t xml:space="preserve">10）保证闸门的使用寿命，减少闸门因应力疲劳的破坏，闸门的闸槽闸板等结构件需进行整体消除应力热处理。 </w:t>
      </w:r>
    </w:p>
    <w:p>
      <w:pPr>
        <w:spacing w:line="360" w:lineRule="auto"/>
        <w:ind w:firstLine="360" w:firstLineChars="150"/>
        <w:rPr>
          <w:rFonts w:ascii="宋体" w:hAnsi="宋体"/>
          <w:sz w:val="24"/>
          <w:highlight w:val="none"/>
        </w:rPr>
      </w:pPr>
      <w:r>
        <w:rPr>
          <w:rFonts w:ascii="宋体" w:hAnsi="宋体"/>
          <w:sz w:val="24"/>
          <w:highlight w:val="none"/>
        </w:rPr>
        <w:t xml:space="preserve">（2）工作原理 </w:t>
      </w:r>
    </w:p>
    <w:p>
      <w:pPr>
        <w:spacing w:line="360" w:lineRule="auto"/>
        <w:ind w:firstLine="360" w:firstLineChars="150"/>
        <w:rPr>
          <w:rFonts w:ascii="宋体" w:hAnsi="宋体"/>
          <w:sz w:val="24"/>
          <w:highlight w:val="none"/>
        </w:rPr>
      </w:pPr>
      <w:r>
        <w:rPr>
          <w:rFonts w:ascii="宋体" w:hAnsi="宋体"/>
          <w:sz w:val="24"/>
          <w:highlight w:val="none"/>
        </w:rPr>
        <w:t xml:space="preserve">闸门由启闭机带动启闭螺母转动，在梯形螺纹作用下使丝杆带动闸门门体上下运行，达到截断或疏通水流作用。 </w:t>
      </w:r>
    </w:p>
    <w:p>
      <w:pPr>
        <w:spacing w:line="360" w:lineRule="auto"/>
        <w:ind w:firstLine="360" w:firstLineChars="150"/>
        <w:rPr>
          <w:rFonts w:ascii="宋体" w:hAnsi="宋体"/>
          <w:sz w:val="24"/>
          <w:highlight w:val="none"/>
        </w:rPr>
      </w:pPr>
      <w:r>
        <w:rPr>
          <w:rFonts w:ascii="宋体" w:hAnsi="宋体"/>
          <w:sz w:val="24"/>
          <w:highlight w:val="none"/>
        </w:rPr>
        <w:t xml:space="preserve">3.11.4 主要零部件材质 </w:t>
      </w:r>
    </w:p>
    <w:p>
      <w:pPr>
        <w:spacing w:line="360" w:lineRule="auto"/>
        <w:ind w:firstLine="360" w:firstLineChars="150"/>
        <w:rPr>
          <w:rFonts w:ascii="宋体" w:hAnsi="宋体"/>
          <w:sz w:val="24"/>
          <w:highlight w:val="none"/>
        </w:rPr>
      </w:pPr>
      <w:r>
        <w:rPr>
          <w:rFonts w:ascii="宋体" w:hAnsi="宋体"/>
          <w:sz w:val="24"/>
          <w:highlight w:val="none"/>
        </w:rPr>
        <w:t xml:space="preserve">门框、门体、导轨、吊耳、楔座：HT250 铸铁 密封面、楔块：ZcuSn5pb5Zn5 锡铅青铜 </w:t>
      </w:r>
    </w:p>
    <w:p>
      <w:pPr>
        <w:spacing w:line="360" w:lineRule="auto"/>
        <w:ind w:firstLine="360" w:firstLineChars="150"/>
        <w:rPr>
          <w:rFonts w:ascii="宋体" w:hAnsi="宋体"/>
          <w:sz w:val="24"/>
          <w:highlight w:val="none"/>
        </w:rPr>
      </w:pPr>
      <w:r>
        <w:rPr>
          <w:rFonts w:ascii="宋体" w:hAnsi="宋体"/>
          <w:sz w:val="24"/>
          <w:highlight w:val="none"/>
        </w:rPr>
        <w:t xml:space="preserve">紧固件：1Cr18Ni9Ti 不锈钢 </w:t>
      </w:r>
    </w:p>
    <w:p>
      <w:pPr>
        <w:spacing w:line="360" w:lineRule="auto"/>
        <w:ind w:firstLine="360" w:firstLineChars="150"/>
        <w:rPr>
          <w:rFonts w:ascii="宋体" w:hAnsi="宋体"/>
          <w:sz w:val="24"/>
          <w:highlight w:val="none"/>
        </w:rPr>
      </w:pPr>
      <w:r>
        <w:rPr>
          <w:rFonts w:ascii="宋体" w:hAnsi="宋体"/>
          <w:sz w:val="24"/>
          <w:highlight w:val="none"/>
        </w:rPr>
        <w:t xml:space="preserve">4.31.5 控制方式 </w:t>
      </w:r>
    </w:p>
    <w:p>
      <w:pPr>
        <w:spacing w:line="360" w:lineRule="auto"/>
        <w:ind w:firstLine="360" w:firstLineChars="150"/>
        <w:rPr>
          <w:rFonts w:ascii="宋体" w:hAnsi="宋体"/>
          <w:sz w:val="24"/>
          <w:highlight w:val="none"/>
        </w:rPr>
      </w:pPr>
      <w:r>
        <w:rPr>
          <w:rFonts w:ascii="宋体" w:hAnsi="宋体"/>
          <w:sz w:val="24"/>
          <w:highlight w:val="none"/>
        </w:rPr>
        <w:t xml:space="preserve">由配套供应的电气控制箱，户外支架安装，防护等级 IP65。 </w:t>
      </w:r>
    </w:p>
    <w:p>
      <w:pPr>
        <w:spacing w:line="360" w:lineRule="auto"/>
        <w:ind w:firstLine="360" w:firstLineChars="150"/>
        <w:rPr>
          <w:rFonts w:ascii="宋体" w:hAnsi="宋体"/>
          <w:sz w:val="24"/>
          <w:highlight w:val="none"/>
        </w:rPr>
      </w:pPr>
      <w:r>
        <w:rPr>
          <w:rFonts w:ascii="宋体" w:hAnsi="宋体"/>
          <w:sz w:val="24"/>
          <w:highlight w:val="none"/>
        </w:rPr>
        <w:t xml:space="preserve">电气控制箱设启、闭按钮、就地/远程转换开关。就地状态下通过启、闭按钮 实现对每台闸门的启闭操作。远程状态下接受厂区自控系统的启、闭命令对每台闸门进行启闭操作。 </w:t>
      </w:r>
    </w:p>
    <w:p>
      <w:pPr>
        <w:pStyle w:val="3"/>
        <w:rPr>
          <w:highlight w:val="none"/>
        </w:rPr>
      </w:pPr>
    </w:p>
    <w:p>
      <w:pPr>
        <w:pStyle w:val="7"/>
        <w:rPr>
          <w:rStyle w:val="38"/>
          <w:b w:val="0"/>
          <w:bCs/>
          <w:highlight w:val="none"/>
        </w:rPr>
      </w:pPr>
      <w:bookmarkStart w:id="175" w:name="_Toc41211457"/>
      <w:r>
        <w:rPr>
          <w:rStyle w:val="38"/>
          <w:b w:val="0"/>
          <w:bCs w:val="0"/>
          <w:highlight w:val="none"/>
        </w:rPr>
        <w:t>3</w:t>
      </w:r>
      <w:r>
        <w:rPr>
          <w:rStyle w:val="38"/>
          <w:rFonts w:hint="eastAsia"/>
          <w:b w:val="0"/>
          <w:bCs w:val="0"/>
          <w:highlight w:val="none"/>
        </w:rPr>
        <w:t>.11启闭机专用技术要求</w:t>
      </w:r>
      <w:bookmarkEnd w:id="175"/>
    </w:p>
    <w:p>
      <w:pPr>
        <w:spacing w:line="360" w:lineRule="auto"/>
        <w:ind w:firstLine="360" w:firstLineChars="150"/>
        <w:rPr>
          <w:rFonts w:ascii="宋体" w:hAnsi="宋体"/>
          <w:sz w:val="24"/>
          <w:highlight w:val="none"/>
        </w:rPr>
      </w:pPr>
      <w:r>
        <w:rPr>
          <w:rFonts w:ascii="宋体" w:hAnsi="宋体"/>
          <w:sz w:val="24"/>
          <w:highlight w:val="none"/>
        </w:rPr>
        <w:t xml:space="preserve">3.11.1 供货范围 </w:t>
      </w:r>
    </w:p>
    <w:p>
      <w:pPr>
        <w:spacing w:line="360" w:lineRule="auto"/>
        <w:ind w:firstLine="360" w:firstLineChars="150"/>
        <w:rPr>
          <w:rFonts w:ascii="宋体" w:hAnsi="宋体"/>
          <w:sz w:val="24"/>
          <w:highlight w:val="none"/>
        </w:rPr>
      </w:pPr>
      <w:r>
        <w:rPr>
          <w:rFonts w:ascii="宋体" w:hAnsi="宋体"/>
          <w:sz w:val="24"/>
          <w:highlight w:val="none"/>
        </w:rPr>
        <w:t xml:space="preserve">装配完好的整机：包括机座、蜗轮减速箱（手动启闭机）、启闭螺母、承重轴承、紧固件等。 </w:t>
      </w:r>
    </w:p>
    <w:p>
      <w:pPr>
        <w:spacing w:line="360" w:lineRule="auto"/>
        <w:ind w:firstLine="360" w:firstLineChars="150"/>
        <w:rPr>
          <w:rFonts w:ascii="宋体" w:hAnsi="宋体"/>
          <w:sz w:val="24"/>
          <w:highlight w:val="none"/>
        </w:rPr>
      </w:pPr>
      <w:r>
        <w:rPr>
          <w:rFonts w:ascii="宋体" w:hAnsi="宋体"/>
          <w:sz w:val="24"/>
          <w:highlight w:val="none"/>
        </w:rPr>
        <w:t xml:space="preserve">丝杆 </w:t>
      </w:r>
    </w:p>
    <w:p>
      <w:pPr>
        <w:spacing w:line="360" w:lineRule="auto"/>
        <w:ind w:firstLine="360" w:firstLineChars="150"/>
        <w:rPr>
          <w:rFonts w:ascii="宋体" w:hAnsi="宋体"/>
          <w:sz w:val="24"/>
          <w:highlight w:val="none"/>
        </w:rPr>
      </w:pPr>
      <w:r>
        <w:rPr>
          <w:rFonts w:ascii="宋体" w:hAnsi="宋体"/>
          <w:sz w:val="24"/>
          <w:highlight w:val="none"/>
        </w:rPr>
        <w:t xml:space="preserve">轴导架 </w:t>
      </w:r>
    </w:p>
    <w:p>
      <w:pPr>
        <w:spacing w:line="360" w:lineRule="auto"/>
        <w:ind w:firstLine="360" w:firstLineChars="150"/>
        <w:rPr>
          <w:rFonts w:ascii="宋体" w:hAnsi="宋体"/>
          <w:sz w:val="24"/>
          <w:highlight w:val="none"/>
        </w:rPr>
      </w:pPr>
      <w:r>
        <w:rPr>
          <w:rFonts w:ascii="宋体" w:hAnsi="宋体"/>
          <w:sz w:val="24"/>
          <w:highlight w:val="none"/>
        </w:rPr>
        <w:t xml:space="preserve">随机备品备件（丝杆护罩 1 根/规格） </w:t>
      </w:r>
    </w:p>
    <w:p>
      <w:pPr>
        <w:spacing w:line="360" w:lineRule="auto"/>
        <w:ind w:firstLine="360" w:firstLineChars="150"/>
        <w:rPr>
          <w:rFonts w:ascii="宋体" w:hAnsi="宋体"/>
          <w:sz w:val="24"/>
          <w:highlight w:val="none"/>
        </w:rPr>
      </w:pPr>
      <w:r>
        <w:rPr>
          <w:rFonts w:ascii="宋体" w:hAnsi="宋体"/>
          <w:sz w:val="24"/>
          <w:highlight w:val="none"/>
        </w:rPr>
        <w:t xml:space="preserve">3.11.2 主要技术参数 </w:t>
      </w:r>
    </w:p>
    <w:p>
      <w:pPr>
        <w:spacing w:line="360" w:lineRule="auto"/>
        <w:ind w:firstLine="315" w:firstLineChars="150"/>
        <w:rPr>
          <w:rFonts w:ascii="宋体" w:hAnsi="宋体"/>
          <w:sz w:val="24"/>
          <w:highlight w:val="none"/>
        </w:rPr>
      </w:pPr>
      <w:r>
        <w:rPr>
          <w:highlight w:val="none"/>
        </w:rPr>
        <w:drawing>
          <wp:anchor distT="0" distB="0" distL="114300" distR="114300" simplePos="0" relativeHeight="251659264" behindDoc="0" locked="0" layoutInCell="1" allowOverlap="1">
            <wp:simplePos x="0" y="0"/>
            <wp:positionH relativeFrom="column">
              <wp:posOffset>254635</wp:posOffset>
            </wp:positionH>
            <wp:positionV relativeFrom="paragraph">
              <wp:posOffset>646430</wp:posOffset>
            </wp:positionV>
            <wp:extent cx="4972050" cy="1077595"/>
            <wp:effectExtent l="0" t="0" r="0" b="8255"/>
            <wp:wrapTopAndBottom/>
            <wp:docPr id="2" name="图片 2" descr="C:\Users\86133\Documents\Tencent Files\241173177\FileRecv\MobileFile\Image\}I}HDVBRR{{G[N9_[U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86133\Documents\Tencent Files\241173177\FileRecv\MobileFile\Image\}I}HDVBRR{{G[N9_[UE~@]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972050" cy="1077595"/>
                    </a:xfrm>
                    <a:prstGeom prst="rect">
                      <a:avLst/>
                    </a:prstGeom>
                    <a:noFill/>
                    <a:ln>
                      <a:noFill/>
                    </a:ln>
                  </pic:spPr>
                </pic:pic>
              </a:graphicData>
            </a:graphic>
          </wp:anchor>
        </w:drawing>
      </w:r>
      <w:r>
        <w:rPr>
          <w:rFonts w:ascii="宋体" w:hAnsi="宋体"/>
          <w:sz w:val="24"/>
          <w:highlight w:val="none"/>
        </w:rPr>
        <w:t xml:space="preserve">启闭机的应符合国家标准，参照《水利水电工程螺杆式启闭机设计规范》 （DL/T5176-2002）标准。丝杆直径的确定由闸门生产厂家选择，并应保证丝杆的强度和刚度。 </w:t>
      </w:r>
    </w:p>
    <w:p>
      <w:pPr>
        <w:spacing w:line="360" w:lineRule="auto"/>
        <w:ind w:firstLine="360" w:firstLineChars="150"/>
        <w:rPr>
          <w:rFonts w:ascii="宋体" w:hAnsi="宋体"/>
          <w:sz w:val="24"/>
          <w:highlight w:val="none"/>
        </w:rPr>
      </w:pPr>
      <w:r>
        <w:rPr>
          <w:rFonts w:ascii="宋体" w:hAnsi="宋体"/>
          <w:sz w:val="24"/>
          <w:highlight w:val="none"/>
        </w:rPr>
        <w:t xml:space="preserve">手电两用启闭机电动装置采用机电一体化电动执行机构，不设独立的控制箱（柜）。启闭机的电动装置应设有超力矩保护功能（包括机械保护和电气保护）和限位调节功能。 </w:t>
      </w:r>
    </w:p>
    <w:p>
      <w:pPr>
        <w:spacing w:line="360" w:lineRule="auto"/>
        <w:ind w:firstLine="360" w:firstLineChars="150"/>
        <w:rPr>
          <w:rFonts w:ascii="宋体" w:hAnsi="宋体"/>
          <w:sz w:val="24"/>
          <w:highlight w:val="none"/>
        </w:rPr>
      </w:pPr>
      <w:r>
        <w:rPr>
          <w:rFonts w:ascii="宋体" w:hAnsi="宋体"/>
          <w:sz w:val="24"/>
          <w:highlight w:val="none"/>
        </w:rPr>
        <w:t xml:space="preserve">其控制单元应满足以下电气技术要求： </w:t>
      </w:r>
    </w:p>
    <w:p>
      <w:pPr>
        <w:spacing w:line="360" w:lineRule="auto"/>
        <w:ind w:firstLine="360" w:firstLineChars="150"/>
        <w:rPr>
          <w:rFonts w:ascii="宋体" w:hAnsi="宋体"/>
          <w:sz w:val="24"/>
          <w:highlight w:val="none"/>
        </w:rPr>
      </w:pPr>
      <w:r>
        <w:rPr>
          <w:rFonts w:ascii="宋体" w:hAnsi="宋体"/>
          <w:sz w:val="24"/>
          <w:highlight w:val="none"/>
        </w:rPr>
        <w:t xml:space="preserve">需具有“断路器、交流接触器、热继电器”等一次电气元器件及其运行功能；需具有“阀门开、停开关，阀门开、停指示灯”及其运行功能； </w:t>
      </w:r>
    </w:p>
    <w:p>
      <w:pPr>
        <w:spacing w:line="360" w:lineRule="auto"/>
        <w:ind w:firstLine="360" w:firstLineChars="150"/>
        <w:rPr>
          <w:rFonts w:ascii="宋体" w:hAnsi="宋体"/>
          <w:sz w:val="24"/>
          <w:highlight w:val="none"/>
        </w:rPr>
      </w:pPr>
      <w:r>
        <w:rPr>
          <w:rFonts w:ascii="宋体" w:hAnsi="宋体"/>
          <w:sz w:val="24"/>
          <w:highlight w:val="none"/>
        </w:rPr>
        <w:t xml:space="preserve">需具有 “阀门手动/自动”转换开关及其运行功能； </w:t>
      </w:r>
    </w:p>
    <w:p>
      <w:pPr>
        <w:spacing w:line="360" w:lineRule="auto"/>
        <w:ind w:firstLine="360" w:firstLineChars="150"/>
        <w:rPr>
          <w:rFonts w:ascii="宋体" w:hAnsi="宋体"/>
          <w:sz w:val="24"/>
          <w:highlight w:val="none"/>
        </w:rPr>
      </w:pPr>
      <w:r>
        <w:rPr>
          <w:rFonts w:ascii="宋体" w:hAnsi="宋体"/>
          <w:sz w:val="24"/>
          <w:highlight w:val="none"/>
        </w:rPr>
        <w:t xml:space="preserve">需具有 能接受需方 PLC 控制系统开阀控制、关阀控制的输入接口； </w:t>
      </w:r>
    </w:p>
    <w:p>
      <w:pPr>
        <w:spacing w:line="360" w:lineRule="auto"/>
        <w:ind w:firstLine="360" w:firstLineChars="150"/>
        <w:rPr>
          <w:rFonts w:ascii="宋体" w:hAnsi="宋体"/>
          <w:sz w:val="24"/>
          <w:highlight w:val="none"/>
        </w:rPr>
      </w:pPr>
      <w:r>
        <w:rPr>
          <w:rFonts w:ascii="宋体" w:hAnsi="宋体"/>
          <w:sz w:val="24"/>
          <w:highlight w:val="none"/>
        </w:rPr>
        <w:t xml:space="preserve">需具有 “阀全开、全关、故障及手动/自动”开关量无源输出接口至需方 PLC 控 制系统； </w:t>
      </w:r>
    </w:p>
    <w:p>
      <w:pPr>
        <w:spacing w:line="360" w:lineRule="auto"/>
        <w:ind w:firstLine="360" w:firstLineChars="150"/>
        <w:rPr>
          <w:rFonts w:ascii="宋体" w:hAnsi="宋体"/>
          <w:sz w:val="24"/>
          <w:highlight w:val="none"/>
        </w:rPr>
      </w:pPr>
      <w:r>
        <w:rPr>
          <w:rFonts w:ascii="宋体" w:hAnsi="宋体"/>
          <w:sz w:val="24"/>
          <w:highlight w:val="none"/>
        </w:rPr>
        <w:t xml:space="preserve">外壳防护等级：IP68。 </w:t>
      </w:r>
    </w:p>
    <w:p>
      <w:pPr>
        <w:spacing w:line="360" w:lineRule="auto"/>
        <w:ind w:firstLine="360" w:firstLineChars="150"/>
        <w:rPr>
          <w:rFonts w:ascii="宋体" w:hAnsi="宋体"/>
          <w:sz w:val="24"/>
          <w:highlight w:val="none"/>
        </w:rPr>
      </w:pPr>
      <w:r>
        <w:rPr>
          <w:rFonts w:ascii="宋体" w:hAnsi="宋体"/>
          <w:sz w:val="24"/>
          <w:highlight w:val="none"/>
        </w:rPr>
        <w:t>在 30%的运动频率下，环境温度 40 度以下，电机应具备每小时 360 次的启动能</w:t>
      </w:r>
    </w:p>
    <w:p>
      <w:pPr>
        <w:spacing w:line="360" w:lineRule="auto"/>
        <w:ind w:firstLine="360" w:firstLineChars="150"/>
        <w:rPr>
          <w:rFonts w:ascii="宋体" w:hAnsi="宋体"/>
          <w:sz w:val="24"/>
          <w:highlight w:val="none"/>
        </w:rPr>
      </w:pPr>
      <w:r>
        <w:rPr>
          <w:rFonts w:ascii="宋体" w:hAnsi="宋体"/>
          <w:sz w:val="24"/>
          <w:highlight w:val="none"/>
        </w:rPr>
        <w:t xml:space="preserve">力。这个数值随着温度的升高而减少。 </w:t>
      </w:r>
    </w:p>
    <w:p>
      <w:pPr>
        <w:spacing w:line="360" w:lineRule="auto"/>
        <w:ind w:firstLine="360" w:firstLineChars="150"/>
        <w:rPr>
          <w:rFonts w:ascii="宋体" w:hAnsi="宋体"/>
          <w:sz w:val="24"/>
          <w:highlight w:val="none"/>
        </w:rPr>
      </w:pPr>
      <w:r>
        <w:rPr>
          <w:rFonts w:ascii="宋体" w:hAnsi="宋体"/>
          <w:sz w:val="24"/>
          <w:highlight w:val="none"/>
        </w:rPr>
        <w:t xml:space="preserve">任何情况下，当执行器断电，执行器能够自动地驱动阀门置于安全位置。 </w:t>
      </w:r>
    </w:p>
    <w:p>
      <w:pPr>
        <w:spacing w:line="360" w:lineRule="auto"/>
        <w:ind w:firstLine="360" w:firstLineChars="150"/>
        <w:rPr>
          <w:rFonts w:ascii="宋体" w:hAnsi="宋体"/>
          <w:sz w:val="24"/>
          <w:highlight w:val="none"/>
        </w:rPr>
      </w:pPr>
      <w:r>
        <w:rPr>
          <w:rFonts w:ascii="宋体" w:hAnsi="宋体"/>
          <w:sz w:val="24"/>
          <w:highlight w:val="none"/>
        </w:rPr>
        <w:t xml:space="preserve">安全装置用于当外接电源断电时，执行器能对机器设备提供保护。 </w:t>
      </w:r>
    </w:p>
    <w:p>
      <w:pPr>
        <w:spacing w:line="360" w:lineRule="auto"/>
        <w:ind w:firstLine="360" w:firstLineChars="150"/>
        <w:rPr>
          <w:rFonts w:ascii="宋体" w:hAnsi="宋体"/>
          <w:sz w:val="24"/>
          <w:highlight w:val="none"/>
        </w:rPr>
      </w:pPr>
      <w:r>
        <w:rPr>
          <w:rFonts w:ascii="宋体" w:hAnsi="宋体"/>
          <w:sz w:val="24"/>
          <w:highlight w:val="none"/>
        </w:rPr>
        <w:t xml:space="preserve">在任何冒险时候甚至是在断电的情况下，执行器能够驱动装置到它安全的位置。 通常 1/4 回转的电动执行器由于安装空间受限，要求体积尽可能小。 </w:t>
      </w:r>
    </w:p>
    <w:p>
      <w:pPr>
        <w:spacing w:line="360" w:lineRule="auto"/>
        <w:ind w:firstLine="360" w:firstLineChars="150"/>
        <w:rPr>
          <w:rFonts w:ascii="宋体" w:hAnsi="宋体"/>
          <w:sz w:val="24"/>
          <w:highlight w:val="none"/>
        </w:rPr>
      </w:pPr>
      <w:r>
        <w:rPr>
          <w:rFonts w:ascii="宋体" w:hAnsi="宋体"/>
          <w:sz w:val="24"/>
          <w:highlight w:val="none"/>
        </w:rPr>
        <w:t xml:space="preserve">执行器具有止回能力是非常必要的，因为电源不可能永远带上。 </w:t>
      </w:r>
    </w:p>
    <w:p>
      <w:pPr>
        <w:spacing w:line="360" w:lineRule="auto"/>
        <w:ind w:firstLine="360" w:firstLineChars="150"/>
        <w:rPr>
          <w:rFonts w:ascii="宋体" w:hAnsi="宋体"/>
          <w:sz w:val="24"/>
          <w:highlight w:val="none"/>
        </w:rPr>
      </w:pPr>
      <w:r>
        <w:rPr>
          <w:rFonts w:ascii="宋体" w:hAnsi="宋体"/>
          <w:sz w:val="24"/>
          <w:highlight w:val="none"/>
        </w:rPr>
        <w:t xml:space="preserve">最基本的，当装置关闭，执行器应确保阀门停留在需要的位置；此外，对于操 作环境带来的强烈的震动，实际上是依靠执行器内部传动齿轮产生更好的抵抗力来 保持阀门位置的恒定；最后，即使具有转位极限停止保护，当用手轮操作时，执行 器仍然要装备机械挡块用于保护被驱动的装置。 </w:t>
      </w:r>
    </w:p>
    <w:p>
      <w:pPr>
        <w:spacing w:line="360" w:lineRule="auto"/>
        <w:ind w:firstLine="360" w:firstLineChars="150"/>
        <w:rPr>
          <w:rFonts w:ascii="宋体" w:hAnsi="宋体"/>
          <w:sz w:val="24"/>
          <w:highlight w:val="none"/>
        </w:rPr>
      </w:pPr>
      <w:r>
        <w:rPr>
          <w:rFonts w:ascii="宋体" w:hAnsi="宋体"/>
          <w:sz w:val="24"/>
          <w:highlight w:val="none"/>
        </w:rPr>
        <w:t xml:space="preserve">3.11.3 主要结构和工作原理 </w:t>
      </w:r>
    </w:p>
    <w:p>
      <w:pPr>
        <w:spacing w:line="360" w:lineRule="auto"/>
        <w:ind w:firstLine="360" w:firstLineChars="150"/>
        <w:rPr>
          <w:rFonts w:ascii="宋体" w:hAnsi="宋体"/>
          <w:sz w:val="24"/>
          <w:highlight w:val="none"/>
        </w:rPr>
      </w:pPr>
      <w:r>
        <w:rPr>
          <w:rFonts w:ascii="宋体" w:hAnsi="宋体"/>
          <w:sz w:val="24"/>
          <w:highlight w:val="none"/>
        </w:rPr>
        <w:t xml:space="preserve">（1）主要结构： </w:t>
      </w:r>
    </w:p>
    <w:p>
      <w:pPr>
        <w:spacing w:line="360" w:lineRule="auto"/>
        <w:ind w:firstLine="360" w:firstLineChars="150"/>
        <w:rPr>
          <w:rFonts w:ascii="宋体" w:hAnsi="宋体"/>
          <w:sz w:val="24"/>
          <w:highlight w:val="none"/>
        </w:rPr>
      </w:pPr>
      <w:r>
        <w:rPr>
          <w:rFonts w:ascii="宋体" w:hAnsi="宋体"/>
          <w:sz w:val="24"/>
          <w:highlight w:val="none"/>
        </w:rPr>
        <w:t xml:space="preserve">启闭装置的上部为电动装置，输出端与吊杆螺母连接，吊杆螺母上下端设置推 力轴承，以承受闸门开启或关闭时产生的所有上下轴向力。 </w:t>
      </w:r>
    </w:p>
    <w:p>
      <w:pPr>
        <w:spacing w:line="360" w:lineRule="auto"/>
        <w:ind w:firstLine="360" w:firstLineChars="150"/>
        <w:rPr>
          <w:rFonts w:ascii="宋体" w:hAnsi="宋体"/>
          <w:sz w:val="24"/>
          <w:highlight w:val="none"/>
        </w:rPr>
      </w:pPr>
      <w:r>
        <w:rPr>
          <w:rFonts w:ascii="宋体" w:hAnsi="宋体"/>
          <w:sz w:val="24"/>
          <w:highlight w:val="none"/>
        </w:rPr>
        <w:t xml:space="preserve">闸门为明杆升降形式，要求中间设若干轴导架用于固定支撑传动杆，轴导架安 装于混凝土侧墙上，孔内设有铜合金轴套，以保证传动杆在受力情况下不变形。 </w:t>
      </w:r>
    </w:p>
    <w:p>
      <w:pPr>
        <w:spacing w:line="360" w:lineRule="auto"/>
        <w:ind w:firstLine="360" w:firstLineChars="150"/>
        <w:rPr>
          <w:rFonts w:ascii="宋体" w:hAnsi="宋体"/>
          <w:sz w:val="24"/>
          <w:highlight w:val="none"/>
        </w:rPr>
      </w:pPr>
      <w:r>
        <w:rPr>
          <w:rFonts w:ascii="宋体" w:hAnsi="宋体"/>
          <w:sz w:val="24"/>
          <w:highlight w:val="none"/>
        </w:rPr>
        <w:t xml:space="preserve">系统应满足现场手动、电动操作，同时具有远控功能。 </w:t>
      </w:r>
    </w:p>
    <w:p>
      <w:pPr>
        <w:spacing w:line="360" w:lineRule="auto"/>
        <w:ind w:firstLine="360" w:firstLineChars="150"/>
        <w:rPr>
          <w:rFonts w:ascii="宋体" w:hAnsi="宋体"/>
          <w:sz w:val="24"/>
          <w:highlight w:val="none"/>
        </w:rPr>
      </w:pPr>
      <w:r>
        <w:rPr>
          <w:rFonts w:ascii="宋体" w:hAnsi="宋体"/>
          <w:sz w:val="24"/>
          <w:highlight w:val="none"/>
        </w:rPr>
        <w:t xml:space="preserve">（2）工作原理： </w:t>
      </w:r>
    </w:p>
    <w:p>
      <w:pPr>
        <w:spacing w:line="360" w:lineRule="auto"/>
        <w:ind w:firstLine="360" w:firstLineChars="150"/>
        <w:rPr>
          <w:rFonts w:ascii="宋体" w:hAnsi="宋体"/>
          <w:sz w:val="24"/>
          <w:highlight w:val="none"/>
        </w:rPr>
      </w:pPr>
      <w:r>
        <w:rPr>
          <w:rFonts w:ascii="宋体" w:hAnsi="宋体"/>
          <w:sz w:val="24"/>
          <w:highlight w:val="none"/>
        </w:rPr>
        <w:t xml:space="preserve">启闭机通过螺母转动带动丝杆升降，从而完成闸门升降启闭。 </w:t>
      </w:r>
    </w:p>
    <w:p>
      <w:pPr>
        <w:spacing w:line="360" w:lineRule="auto"/>
        <w:ind w:firstLine="360" w:firstLineChars="150"/>
        <w:rPr>
          <w:rFonts w:ascii="宋体" w:hAnsi="宋体"/>
          <w:sz w:val="24"/>
          <w:highlight w:val="none"/>
        </w:rPr>
      </w:pPr>
      <w:r>
        <w:rPr>
          <w:rFonts w:ascii="宋体" w:hAnsi="宋体"/>
          <w:sz w:val="24"/>
          <w:highlight w:val="none"/>
        </w:rPr>
        <w:t xml:space="preserve">3.11.4 主要部件材质 </w:t>
      </w:r>
    </w:p>
    <w:p>
      <w:pPr>
        <w:spacing w:line="360" w:lineRule="auto"/>
        <w:ind w:firstLine="360" w:firstLineChars="150"/>
        <w:rPr>
          <w:rFonts w:ascii="宋体" w:hAnsi="宋体"/>
          <w:sz w:val="24"/>
          <w:highlight w:val="none"/>
        </w:rPr>
      </w:pPr>
      <w:r>
        <w:rPr>
          <w:rFonts w:ascii="宋体" w:hAnsi="宋体"/>
          <w:sz w:val="24"/>
          <w:highlight w:val="none"/>
        </w:rPr>
        <w:t xml:space="preserve">机座：HT200 铸铁 </w:t>
      </w:r>
    </w:p>
    <w:p>
      <w:pPr>
        <w:spacing w:line="360" w:lineRule="auto"/>
        <w:ind w:firstLine="360" w:firstLineChars="150"/>
        <w:rPr>
          <w:rFonts w:ascii="宋体" w:hAnsi="宋体"/>
          <w:sz w:val="24"/>
          <w:highlight w:val="none"/>
        </w:rPr>
      </w:pPr>
      <w:r>
        <w:rPr>
          <w:rFonts w:ascii="宋体" w:hAnsi="宋体"/>
          <w:sz w:val="24"/>
          <w:highlight w:val="none"/>
        </w:rPr>
        <w:t xml:space="preserve">蜗杆：45#碳钢（高频淬火） </w:t>
      </w:r>
    </w:p>
    <w:p>
      <w:pPr>
        <w:spacing w:line="360" w:lineRule="auto"/>
        <w:ind w:firstLine="360" w:firstLineChars="150"/>
        <w:rPr>
          <w:rFonts w:ascii="宋体" w:hAnsi="宋体"/>
          <w:sz w:val="24"/>
          <w:highlight w:val="none"/>
        </w:rPr>
      </w:pPr>
      <w:r>
        <w:rPr>
          <w:rFonts w:ascii="宋体" w:hAnsi="宋体"/>
          <w:sz w:val="24"/>
          <w:highlight w:val="none"/>
        </w:rPr>
        <w:t xml:space="preserve">蜗轮：锡磷青铜 </w:t>
      </w:r>
    </w:p>
    <w:p>
      <w:pPr>
        <w:spacing w:line="360" w:lineRule="auto"/>
        <w:ind w:firstLine="360" w:firstLineChars="150"/>
        <w:rPr>
          <w:rFonts w:ascii="宋体" w:hAnsi="宋体"/>
          <w:sz w:val="24"/>
          <w:highlight w:val="none"/>
        </w:rPr>
      </w:pPr>
      <w:r>
        <w:rPr>
          <w:rFonts w:ascii="宋体" w:hAnsi="宋体"/>
          <w:sz w:val="24"/>
          <w:highlight w:val="none"/>
        </w:rPr>
        <w:t xml:space="preserve">吊杆螺母、螺杆及连接杆：不锈钢 12Cr13 所有安装用紧固件：不锈钢 12Cr13 </w:t>
      </w:r>
    </w:p>
    <w:p>
      <w:pPr>
        <w:spacing w:line="360" w:lineRule="auto"/>
        <w:ind w:firstLine="360" w:firstLineChars="150"/>
        <w:rPr>
          <w:rFonts w:ascii="宋体" w:hAnsi="宋体"/>
          <w:sz w:val="24"/>
          <w:highlight w:val="none"/>
        </w:rPr>
      </w:pPr>
      <w:r>
        <w:rPr>
          <w:rFonts w:ascii="宋体" w:hAnsi="宋体"/>
          <w:sz w:val="24"/>
          <w:highlight w:val="none"/>
        </w:rPr>
        <w:t xml:space="preserve">3.11.5 设备设计、制造、检验标准 </w:t>
      </w:r>
    </w:p>
    <w:p>
      <w:pPr>
        <w:spacing w:line="360" w:lineRule="auto"/>
        <w:ind w:firstLine="360" w:firstLineChars="150"/>
        <w:rPr>
          <w:rFonts w:ascii="宋体" w:hAnsi="宋体"/>
          <w:sz w:val="24"/>
          <w:highlight w:val="none"/>
        </w:rPr>
      </w:pPr>
      <w:r>
        <w:rPr>
          <w:rFonts w:ascii="宋体" w:hAnsi="宋体"/>
          <w:sz w:val="24"/>
          <w:highlight w:val="none"/>
        </w:rPr>
        <w:t>该产品在设计、制造、检验、包装运输及安装应符合中国相关标准、国际相关</w:t>
      </w:r>
    </w:p>
    <w:p>
      <w:pPr>
        <w:spacing w:line="360" w:lineRule="auto"/>
        <w:ind w:firstLine="360" w:firstLineChars="150"/>
        <w:rPr>
          <w:rFonts w:ascii="宋体" w:hAnsi="宋体"/>
          <w:sz w:val="24"/>
          <w:highlight w:val="none"/>
        </w:rPr>
      </w:pPr>
      <w:r>
        <w:rPr>
          <w:rFonts w:ascii="宋体" w:hAnsi="宋体"/>
          <w:sz w:val="24"/>
          <w:highlight w:val="none"/>
        </w:rPr>
        <w:t xml:space="preserve">标准，其主要标准如下： </w:t>
      </w:r>
    </w:p>
    <w:p>
      <w:pPr>
        <w:spacing w:line="360" w:lineRule="auto"/>
        <w:ind w:firstLine="360" w:firstLineChars="150"/>
        <w:rPr>
          <w:rFonts w:ascii="宋体" w:hAnsi="宋体"/>
          <w:sz w:val="24"/>
          <w:highlight w:val="none"/>
        </w:rPr>
      </w:pPr>
      <w:r>
        <w:rPr>
          <w:rFonts w:ascii="宋体" w:hAnsi="宋体"/>
          <w:sz w:val="24"/>
          <w:highlight w:val="none"/>
        </w:rPr>
        <w:t xml:space="preserve">ZBJ86001.2-89 《螺杆式启闭机型号和基本参数》 JB2932-99 《水处理设备制造技术条件》 </w:t>
      </w:r>
    </w:p>
    <w:p>
      <w:pPr>
        <w:spacing w:line="360" w:lineRule="auto"/>
        <w:ind w:firstLine="360" w:firstLineChars="150"/>
        <w:rPr>
          <w:rFonts w:ascii="宋体" w:hAnsi="宋体"/>
          <w:sz w:val="24"/>
          <w:highlight w:val="none"/>
        </w:rPr>
      </w:pPr>
      <w:r>
        <w:rPr>
          <w:rFonts w:ascii="宋体" w:hAnsi="宋体"/>
          <w:sz w:val="24"/>
          <w:highlight w:val="none"/>
        </w:rPr>
        <w:t xml:space="preserve">JB/T8828-2001 《切削加工件通用技术条件》 </w:t>
      </w:r>
    </w:p>
    <w:p>
      <w:pPr>
        <w:spacing w:line="360" w:lineRule="auto"/>
        <w:ind w:firstLine="360" w:firstLineChars="150"/>
        <w:rPr>
          <w:rFonts w:ascii="宋体" w:hAnsi="宋体"/>
          <w:sz w:val="24"/>
          <w:highlight w:val="none"/>
        </w:rPr>
      </w:pPr>
      <w:r>
        <w:rPr>
          <w:rFonts w:ascii="宋体" w:hAnsi="宋体"/>
          <w:sz w:val="24"/>
          <w:highlight w:val="none"/>
        </w:rPr>
        <w:t xml:space="preserve">JB/ZQ4000.3-86 《焊接件通用技术条件》 </w:t>
      </w:r>
    </w:p>
    <w:p>
      <w:pPr>
        <w:spacing w:line="360" w:lineRule="auto"/>
        <w:ind w:firstLine="360" w:firstLineChars="150"/>
        <w:rPr>
          <w:rFonts w:ascii="宋体" w:hAnsi="宋体"/>
          <w:sz w:val="24"/>
          <w:highlight w:val="none"/>
        </w:rPr>
      </w:pPr>
      <w:r>
        <w:rPr>
          <w:rFonts w:ascii="宋体" w:hAnsi="宋体"/>
          <w:sz w:val="24"/>
          <w:highlight w:val="none"/>
        </w:rPr>
        <w:t xml:space="preserve">JB/ZQ4000.5-86 《铸件通用技术条件》 </w:t>
      </w:r>
    </w:p>
    <w:p>
      <w:pPr>
        <w:spacing w:line="360" w:lineRule="auto"/>
        <w:ind w:firstLine="360" w:firstLineChars="150"/>
        <w:rPr>
          <w:rFonts w:ascii="宋体" w:hAnsi="宋体"/>
          <w:sz w:val="24"/>
          <w:highlight w:val="none"/>
        </w:rPr>
      </w:pPr>
      <w:r>
        <w:rPr>
          <w:rFonts w:ascii="宋体" w:hAnsi="宋体"/>
          <w:sz w:val="24"/>
          <w:highlight w:val="none"/>
        </w:rPr>
        <w:t xml:space="preserve">JB/ZQ4000.7 86 《锻件通用技术条件》 </w:t>
      </w:r>
    </w:p>
    <w:p>
      <w:pPr>
        <w:spacing w:line="360" w:lineRule="auto"/>
        <w:ind w:firstLine="360" w:firstLineChars="150"/>
        <w:rPr>
          <w:rFonts w:ascii="宋体" w:hAnsi="宋体"/>
          <w:sz w:val="24"/>
          <w:highlight w:val="none"/>
        </w:rPr>
      </w:pPr>
      <w:r>
        <w:rPr>
          <w:rFonts w:ascii="宋体" w:hAnsi="宋体"/>
          <w:sz w:val="24"/>
          <w:highlight w:val="none"/>
        </w:rPr>
        <w:t xml:space="preserve">JB/T5000.5-98 《有色金属铸件通用技术条件》 </w:t>
      </w:r>
    </w:p>
    <w:p>
      <w:pPr>
        <w:spacing w:line="360" w:lineRule="auto"/>
        <w:ind w:firstLine="360" w:firstLineChars="150"/>
        <w:rPr>
          <w:rFonts w:ascii="宋体" w:hAnsi="宋体"/>
          <w:sz w:val="24"/>
          <w:highlight w:val="none"/>
        </w:rPr>
      </w:pPr>
      <w:r>
        <w:rPr>
          <w:rFonts w:ascii="宋体" w:hAnsi="宋体"/>
          <w:sz w:val="24"/>
          <w:highlight w:val="none"/>
        </w:rPr>
        <w:t xml:space="preserve">JB/ZQ4000.9-86 《装配技术条件》 </w:t>
      </w:r>
    </w:p>
    <w:p>
      <w:pPr>
        <w:spacing w:line="360" w:lineRule="auto"/>
        <w:ind w:firstLine="360" w:firstLineChars="150"/>
        <w:rPr>
          <w:rFonts w:ascii="宋体" w:hAnsi="宋体"/>
          <w:sz w:val="24"/>
          <w:highlight w:val="none"/>
        </w:rPr>
      </w:pPr>
      <w:r>
        <w:rPr>
          <w:rFonts w:ascii="宋体" w:hAnsi="宋体"/>
          <w:sz w:val="24"/>
          <w:highlight w:val="none"/>
        </w:rPr>
        <w:t xml:space="preserve">JB/ZQ4000.10-86 《涂装通用技术条件》 </w:t>
      </w:r>
    </w:p>
    <w:p>
      <w:pPr>
        <w:spacing w:line="360" w:lineRule="auto"/>
        <w:ind w:firstLine="360" w:firstLineChars="150"/>
        <w:rPr>
          <w:rFonts w:ascii="宋体" w:hAnsi="宋体"/>
          <w:sz w:val="24"/>
          <w:highlight w:val="none"/>
        </w:rPr>
      </w:pPr>
      <w:r>
        <w:rPr>
          <w:rFonts w:ascii="宋体" w:hAnsi="宋体"/>
          <w:sz w:val="24"/>
          <w:highlight w:val="none"/>
        </w:rPr>
        <w:t xml:space="preserve">GB4981 《压力试验》 </w:t>
      </w:r>
    </w:p>
    <w:p>
      <w:pPr>
        <w:spacing w:line="360" w:lineRule="auto"/>
        <w:ind w:firstLine="360" w:firstLineChars="150"/>
        <w:rPr>
          <w:rFonts w:ascii="宋体" w:hAnsi="宋体"/>
          <w:sz w:val="24"/>
          <w:highlight w:val="none"/>
        </w:rPr>
      </w:pPr>
      <w:r>
        <w:rPr>
          <w:rFonts w:ascii="宋体" w:hAnsi="宋体"/>
          <w:sz w:val="24"/>
          <w:highlight w:val="none"/>
        </w:rPr>
        <w:t xml:space="preserve">GB1176 《铸造铜合金技术条件》 GB1220-2007 《不锈钢棒》 </w:t>
      </w:r>
    </w:p>
    <w:p>
      <w:pPr>
        <w:spacing w:line="360" w:lineRule="auto"/>
        <w:ind w:firstLine="360" w:firstLineChars="150"/>
        <w:rPr>
          <w:rFonts w:ascii="宋体" w:hAnsi="宋体"/>
          <w:sz w:val="24"/>
          <w:highlight w:val="none"/>
        </w:rPr>
      </w:pPr>
      <w:r>
        <w:rPr>
          <w:rFonts w:ascii="宋体" w:hAnsi="宋体"/>
          <w:sz w:val="24"/>
          <w:highlight w:val="none"/>
        </w:rPr>
        <w:t xml:space="preserve">GB6414 《铸铁尺寸公差》 </w:t>
      </w:r>
    </w:p>
    <w:p>
      <w:pPr>
        <w:spacing w:line="360" w:lineRule="auto"/>
        <w:ind w:firstLine="360" w:firstLineChars="150"/>
        <w:rPr>
          <w:rFonts w:ascii="宋体" w:hAnsi="宋体"/>
          <w:sz w:val="24"/>
          <w:highlight w:val="none"/>
        </w:rPr>
      </w:pPr>
      <w:r>
        <w:rPr>
          <w:rFonts w:ascii="宋体" w:hAnsi="宋体"/>
          <w:sz w:val="24"/>
          <w:highlight w:val="none"/>
        </w:rPr>
        <w:t xml:space="preserve">GB9439 《灰铸铁件》 </w:t>
      </w:r>
    </w:p>
    <w:p>
      <w:pPr>
        <w:spacing w:line="360" w:lineRule="auto"/>
        <w:ind w:firstLine="360" w:firstLineChars="150"/>
        <w:rPr>
          <w:rFonts w:ascii="宋体" w:hAnsi="宋体"/>
          <w:sz w:val="24"/>
          <w:highlight w:val="none"/>
        </w:rPr>
      </w:pPr>
      <w:r>
        <w:rPr>
          <w:rFonts w:ascii="宋体" w:hAnsi="宋体"/>
          <w:sz w:val="24"/>
          <w:highlight w:val="none"/>
        </w:rPr>
        <w:t xml:space="preserve">GB3797-89 《装有电子器件电控箱技术条件》 GB8923-2011《涂装前钢材表面锈蚀等级和除锈等级》 GB4979-1999《防锈包装》 </w:t>
      </w:r>
    </w:p>
    <w:p>
      <w:pPr>
        <w:spacing w:line="360" w:lineRule="auto"/>
        <w:ind w:firstLine="360" w:firstLineChars="150"/>
        <w:rPr>
          <w:rFonts w:ascii="宋体" w:hAnsi="宋体"/>
          <w:sz w:val="24"/>
          <w:highlight w:val="none"/>
        </w:rPr>
      </w:pPr>
      <w:r>
        <w:rPr>
          <w:rFonts w:ascii="宋体" w:hAnsi="宋体"/>
          <w:sz w:val="24"/>
          <w:highlight w:val="none"/>
        </w:rPr>
        <w:t xml:space="preserve">YJ010 《抛丸喷砂技术及检验方法》 </w:t>
      </w:r>
    </w:p>
    <w:p>
      <w:pPr>
        <w:spacing w:line="360" w:lineRule="auto"/>
        <w:ind w:firstLine="360" w:firstLineChars="150"/>
        <w:rPr>
          <w:rFonts w:ascii="宋体" w:hAnsi="宋体"/>
          <w:sz w:val="24"/>
          <w:highlight w:val="none"/>
        </w:rPr>
      </w:pPr>
      <w:r>
        <w:rPr>
          <w:rFonts w:ascii="宋体" w:hAnsi="宋体"/>
          <w:sz w:val="24"/>
          <w:highlight w:val="none"/>
        </w:rPr>
        <w:t xml:space="preserve">JB/ZQ4000.1-86 《产品检验通用技术要求》 </w:t>
      </w:r>
    </w:p>
    <w:p>
      <w:pPr>
        <w:spacing w:line="360" w:lineRule="auto"/>
        <w:ind w:firstLine="360" w:firstLineChars="150"/>
        <w:rPr>
          <w:rFonts w:ascii="宋体" w:hAnsi="宋体"/>
          <w:sz w:val="24"/>
          <w:highlight w:val="none"/>
        </w:rPr>
      </w:pPr>
      <w:r>
        <w:rPr>
          <w:rFonts w:ascii="宋体" w:hAnsi="宋体"/>
          <w:sz w:val="24"/>
          <w:highlight w:val="none"/>
        </w:rPr>
        <w:t xml:space="preserve">3.11.6 设备的可靠性及耐久性 </w:t>
      </w:r>
    </w:p>
    <w:p>
      <w:pPr>
        <w:spacing w:line="360" w:lineRule="auto"/>
        <w:ind w:firstLine="360" w:firstLineChars="150"/>
        <w:rPr>
          <w:rFonts w:ascii="宋体" w:hAnsi="宋体"/>
          <w:sz w:val="24"/>
          <w:highlight w:val="none"/>
        </w:rPr>
      </w:pPr>
      <w:r>
        <w:rPr>
          <w:rFonts w:ascii="宋体" w:hAnsi="宋体"/>
          <w:sz w:val="24"/>
          <w:highlight w:val="none"/>
        </w:rPr>
        <w:t xml:space="preserve">除符合国家有关标准和规定外，还应符合下列规定。 </w:t>
      </w:r>
    </w:p>
    <w:p>
      <w:pPr>
        <w:spacing w:line="360" w:lineRule="auto"/>
        <w:ind w:firstLine="360" w:firstLineChars="150"/>
        <w:rPr>
          <w:rFonts w:ascii="宋体" w:hAnsi="宋体"/>
          <w:sz w:val="24"/>
          <w:highlight w:val="none"/>
        </w:rPr>
      </w:pPr>
      <w:r>
        <w:rPr>
          <w:rFonts w:ascii="宋体" w:hAnsi="宋体"/>
          <w:sz w:val="24"/>
          <w:highlight w:val="none"/>
        </w:rPr>
        <w:t xml:space="preserve">（1）设备无故障运行时间不少于 20000 小时。 </w:t>
      </w:r>
    </w:p>
    <w:p>
      <w:pPr>
        <w:spacing w:line="360" w:lineRule="auto"/>
        <w:ind w:firstLine="360" w:firstLineChars="150"/>
        <w:rPr>
          <w:rFonts w:ascii="宋体" w:hAnsi="宋体"/>
          <w:sz w:val="24"/>
          <w:highlight w:val="none"/>
        </w:rPr>
      </w:pPr>
      <w:r>
        <w:rPr>
          <w:rFonts w:ascii="宋体" w:hAnsi="宋体"/>
          <w:sz w:val="24"/>
          <w:highlight w:val="none"/>
        </w:rPr>
        <w:t xml:space="preserve">（2）设备每年检修一次，轴承使用寿命在 10 年以上，防护层年限不少于 5 年。 （3）整机寿命在 20 年以上。 </w:t>
      </w:r>
    </w:p>
    <w:p>
      <w:pPr>
        <w:spacing w:line="360" w:lineRule="auto"/>
        <w:ind w:firstLine="360" w:firstLineChars="150"/>
        <w:rPr>
          <w:rFonts w:ascii="宋体" w:hAnsi="宋体"/>
          <w:sz w:val="24"/>
          <w:highlight w:val="none"/>
        </w:rPr>
      </w:pPr>
      <w:r>
        <w:rPr>
          <w:rFonts w:ascii="宋体" w:hAnsi="宋体"/>
          <w:sz w:val="24"/>
          <w:highlight w:val="none"/>
        </w:rPr>
        <w:t xml:space="preserve">3.11.7 设备的防腐 </w:t>
      </w:r>
    </w:p>
    <w:p>
      <w:pPr>
        <w:spacing w:line="360" w:lineRule="auto"/>
        <w:ind w:firstLine="360" w:firstLineChars="150"/>
        <w:rPr>
          <w:rFonts w:ascii="宋体" w:hAnsi="宋体"/>
          <w:sz w:val="24"/>
          <w:highlight w:val="none"/>
        </w:rPr>
      </w:pPr>
      <w:r>
        <w:rPr>
          <w:rFonts w:ascii="宋体" w:hAnsi="宋体"/>
          <w:sz w:val="24"/>
          <w:highlight w:val="none"/>
        </w:rPr>
        <w:t xml:space="preserve">除符合国家有关标准和规定外，还应符合以下规定。 </w:t>
      </w:r>
    </w:p>
    <w:p>
      <w:pPr>
        <w:spacing w:line="360" w:lineRule="auto"/>
        <w:ind w:firstLine="360" w:firstLineChars="150"/>
        <w:rPr>
          <w:rFonts w:ascii="宋体" w:hAnsi="宋体"/>
          <w:sz w:val="24"/>
          <w:highlight w:val="none"/>
        </w:rPr>
      </w:pPr>
      <w:r>
        <w:rPr>
          <w:rFonts w:ascii="宋体" w:hAnsi="宋体"/>
          <w:sz w:val="24"/>
          <w:highlight w:val="none"/>
        </w:rPr>
        <w:t xml:space="preserve">（1）除锈达 Sa2.5 级标准。 </w:t>
      </w:r>
    </w:p>
    <w:p>
      <w:pPr>
        <w:spacing w:line="360" w:lineRule="auto"/>
        <w:ind w:firstLine="360" w:firstLineChars="150"/>
        <w:rPr>
          <w:rFonts w:ascii="宋体" w:hAnsi="宋体"/>
          <w:sz w:val="24"/>
          <w:highlight w:val="none"/>
        </w:rPr>
      </w:pPr>
      <w:r>
        <w:rPr>
          <w:rFonts w:ascii="宋体" w:hAnsi="宋体"/>
          <w:sz w:val="24"/>
          <w:highlight w:val="none"/>
        </w:rPr>
        <w:t xml:space="preserve">（2）涂富锌底漆，云母氧化铁中间漆，醇酸面漆，面漆采用烘漆工艺。 </w:t>
      </w:r>
    </w:p>
    <w:p>
      <w:pPr>
        <w:spacing w:line="360" w:lineRule="auto"/>
        <w:ind w:firstLine="360" w:firstLineChars="150"/>
        <w:rPr>
          <w:rFonts w:ascii="宋体" w:hAnsi="宋体"/>
          <w:sz w:val="24"/>
          <w:highlight w:val="none"/>
        </w:rPr>
      </w:pPr>
      <w:r>
        <w:rPr>
          <w:rFonts w:ascii="宋体" w:hAnsi="宋体"/>
          <w:sz w:val="24"/>
          <w:highlight w:val="none"/>
        </w:rPr>
        <w:t xml:space="preserve">（3）包装前对机加工面按 GB4879 标准要求防腐处理。 </w:t>
      </w:r>
    </w:p>
    <w:p>
      <w:pPr>
        <w:spacing w:line="360" w:lineRule="auto"/>
        <w:ind w:firstLine="360" w:firstLineChars="150"/>
        <w:rPr>
          <w:rFonts w:ascii="宋体" w:hAnsi="宋体"/>
          <w:sz w:val="24"/>
          <w:highlight w:val="none"/>
        </w:rPr>
      </w:pPr>
      <w:r>
        <w:rPr>
          <w:rFonts w:ascii="宋体" w:hAnsi="宋体"/>
          <w:sz w:val="24"/>
          <w:highlight w:val="none"/>
        </w:rPr>
        <w:t xml:space="preserve">（4）运输、安装过程中涂层破损，严格按涂装工艺进行修复，其质量水平不低于原涂层的质量水平。 </w:t>
      </w:r>
    </w:p>
    <w:p>
      <w:pPr>
        <w:pStyle w:val="19"/>
        <w:rPr>
          <w:rStyle w:val="38"/>
          <w:highlight w:val="none"/>
        </w:rPr>
      </w:pPr>
    </w:p>
    <w:p>
      <w:pPr>
        <w:pStyle w:val="28"/>
        <w:spacing w:before="75" w:beforeAutospacing="0" w:after="75" w:afterAutospacing="0" w:line="360" w:lineRule="auto"/>
        <w:jc w:val="center"/>
        <w:outlineLvl w:val="1"/>
        <w:rPr>
          <w:rStyle w:val="38"/>
          <w:bCs w:val="0"/>
          <w:highlight w:val="none"/>
        </w:rPr>
      </w:pPr>
      <w:r>
        <w:rPr>
          <w:rStyle w:val="38"/>
          <w:rFonts w:hint="eastAsia"/>
          <w:highlight w:val="none"/>
        </w:rPr>
        <w:t>四、</w:t>
      </w:r>
      <w:r>
        <w:rPr>
          <w:rFonts w:hint="eastAsia"/>
          <w:b/>
          <w:highlight w:val="none"/>
        </w:rPr>
        <w:t>注意事项</w:t>
      </w:r>
      <w:bookmarkEnd w:id="168"/>
      <w:bookmarkEnd w:id="169"/>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1、投标人所投的室外控制箱（柜）均需采用304#不锈钢材料。</w:t>
      </w:r>
    </w:p>
    <w:p>
      <w:pPr>
        <w:snapToGrid w:val="0"/>
        <w:spacing w:line="360" w:lineRule="auto"/>
        <w:ind w:firstLine="480" w:firstLineChars="200"/>
        <w:rPr>
          <w:rFonts w:ascii="宋体" w:hAnsi="宋体" w:cs="宋体"/>
          <w:color w:val="FF0000"/>
          <w:sz w:val="24"/>
          <w:highlight w:val="none"/>
        </w:rPr>
      </w:pPr>
      <w:r>
        <w:rPr>
          <w:rFonts w:hint="eastAsia" w:ascii="宋体" w:hAnsi="宋体" w:cs="宋体"/>
          <w:sz w:val="24"/>
          <w:highlight w:val="none"/>
        </w:rPr>
        <w:t>2、</w:t>
      </w:r>
      <w:r>
        <w:rPr>
          <w:rFonts w:hint="eastAsia" w:ascii="宋体" w:hAnsi="宋体" w:cs="宋体"/>
          <w:b/>
          <w:sz w:val="24"/>
          <w:highlight w:val="none"/>
        </w:rPr>
        <w:t>标文中带“★”项为关键设备指标（需按要求提供加盖公章的佐证资料），出现负偏离将被视为未实质性响应招标文件要求，不推荐为中标候选人。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投标时要严格按照招标文件要求，提供相关产品的认证证明资料等，</w:t>
      </w:r>
      <w:r>
        <w:rPr>
          <w:rFonts w:hint="eastAsia" w:ascii="宋体" w:hAnsi="宋体" w:cs="宋体"/>
          <w:b/>
          <w:bCs/>
          <w:sz w:val="24"/>
          <w:highlight w:val="none"/>
        </w:rPr>
        <w:t>未按招标文件要求提供或提供的证明资料招标文件不符合的视为未实质性响应招标文件要求，不推荐为中标候选人。</w:t>
      </w:r>
      <w:r>
        <w:rPr>
          <w:rFonts w:hint="eastAsia" w:ascii="宋体" w:hAnsi="宋体" w:cs="宋体"/>
          <w:sz w:val="24"/>
          <w:highlight w:val="none"/>
        </w:rPr>
        <w:t>投标供应商应根据招标文件要求提供自己产品的响应，并应在投标文件中列出全部技术相对于本招标文件对各种技术性能规定的技术偏离表。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3、投标人须对设备的技术、售后服务等要求作出明确承诺和说明。</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投标人所投货物应是原装、全新的经出厂检验合格的产品。积压的库存商品排除在外；完全符合采购要求规定的质量、规格和性能的要求，配附完整的出厂配置及附件。投标人应保证其提供的货物在正确安装、正常使用和保养条件下，在规定的使用寿命期内具有满意的性能。</w:t>
      </w:r>
      <w:r>
        <w:rPr>
          <w:rFonts w:hint="eastAsia" w:ascii="宋体" w:hAnsi="宋体" w:cs="宋体"/>
          <w:b/>
          <w:sz w:val="24"/>
          <w:highlight w:val="none"/>
        </w:rPr>
        <w:t>所投货物纳入国家工业产品生产许可证的产品必须取得国家工产品生产许可证；纳入强制性产品的认证的产品必须取得强制性产品认证；拒绝未取得相应认证的产品，拒绝无中文标识的产品。</w:t>
      </w:r>
      <w:r>
        <w:rPr>
          <w:rFonts w:hint="eastAsia" w:ascii="宋体" w:hAnsi="宋体" w:cs="宋体"/>
          <w:sz w:val="24"/>
          <w:highlight w:val="none"/>
        </w:rPr>
        <w:t>供货产品的设计、制造、质量、包装等均应满足《产品质量法》的要求。技术标准必须符合或优于国家最新颁布的有关标准。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投标人必须列出全部货物的明细表，包括产品名称、品牌、型号、配置、数量、单价、总价、投标总价、备注等；列出包中每个设备未列入的满足工程采购所必需的其他配备要求的明细表；并提供可赠送的软、硬件以及附件清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6、投标人应在投标文件中对所投产品的技术性能作全面中文说明。投标人应提交证明其拟提供产品符合招标文件要求的技术响应文件，该文件可以是文字资料、图纸和数据。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7、投标人须根据招标文件中货物安装、验收、培训等基本要求，制定货物发运、安装、验收、培训等工作方案。</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8、投标人中标后在设备生产（制造）前需经采购人及设计单位确认无异议后，才可下单进行生产。未经采购人及设计单位确认自行下单及生产出不符合要求的设备，采购人有权拒收，并要求中标供应商赔偿由此造成的损失。</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9、投标人应具有圆满履行合同的能力，不得进行转包和违法分包。</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10、投标人中标后在设备采购及安装验收合格交付使用前一切安全事故责任均由中标人自行负责。</w:t>
      </w:r>
    </w:p>
    <w:p>
      <w:pPr>
        <w:pStyle w:val="2"/>
        <w:spacing w:line="360" w:lineRule="auto"/>
        <w:rPr>
          <w:rFonts w:ascii="宋体" w:hAnsi="宋体" w:cs="宋体"/>
          <w:sz w:val="24"/>
          <w:highlight w:val="none"/>
        </w:rPr>
      </w:pPr>
    </w:p>
    <w:p>
      <w:pPr>
        <w:pStyle w:val="28"/>
        <w:spacing w:before="75" w:beforeAutospacing="0" w:after="75" w:afterAutospacing="0" w:line="360" w:lineRule="auto"/>
        <w:jc w:val="center"/>
        <w:outlineLvl w:val="1"/>
        <w:rPr>
          <w:rStyle w:val="38"/>
          <w:bCs w:val="0"/>
          <w:highlight w:val="none"/>
        </w:rPr>
      </w:pPr>
      <w:bookmarkStart w:id="176" w:name="_Toc40254135"/>
      <w:bookmarkStart w:id="177" w:name="_Toc825"/>
      <w:r>
        <w:rPr>
          <w:rStyle w:val="38"/>
          <w:rFonts w:hint="eastAsia"/>
          <w:highlight w:val="none"/>
        </w:rPr>
        <w:t>五、</w:t>
      </w:r>
      <w:r>
        <w:rPr>
          <w:rStyle w:val="38"/>
          <w:rFonts w:hint="eastAsia"/>
          <w:bCs w:val="0"/>
          <w:highlight w:val="none"/>
        </w:rPr>
        <w:t>项目安装及调试</w:t>
      </w:r>
      <w:bookmarkEnd w:id="176"/>
      <w:bookmarkEnd w:id="177"/>
    </w:p>
    <w:p>
      <w:pPr>
        <w:spacing w:line="360" w:lineRule="auto"/>
        <w:rPr>
          <w:rStyle w:val="38"/>
          <w:rFonts w:ascii="宋体" w:hAnsi="宋体" w:cs="宋体"/>
          <w:sz w:val="24"/>
          <w:highlight w:val="none"/>
        </w:rPr>
      </w:pPr>
    </w:p>
    <w:p>
      <w:pPr>
        <w:pStyle w:val="28"/>
        <w:spacing w:line="360" w:lineRule="auto"/>
        <w:ind w:firstLine="480"/>
        <w:rPr>
          <w:highlight w:val="none"/>
        </w:rPr>
      </w:pPr>
      <w:r>
        <w:rPr>
          <w:rFonts w:hint="eastAsia"/>
          <w:highlight w:val="none"/>
        </w:rPr>
        <w:t>1、本说明中未及事项按国家有关规程、规范进行施工，最后按国家有关规程规范进行验收。</w:t>
      </w:r>
    </w:p>
    <w:p>
      <w:pPr>
        <w:pStyle w:val="28"/>
        <w:spacing w:line="360" w:lineRule="auto"/>
        <w:ind w:firstLine="480"/>
        <w:rPr>
          <w:highlight w:val="none"/>
        </w:rPr>
      </w:pPr>
      <w:r>
        <w:rPr>
          <w:rFonts w:hint="eastAsia"/>
          <w:highlight w:val="none"/>
        </w:rPr>
        <w:t>2、中标人应负责按所签订合同的具体要求、具体数量、具体地点将货物运送到用户规定地点，经用户验收合格后负责安装，经最终验收合格后，交付采购人使用，中标人须在投标文件中详细列明所需各项费用。设备安装、调试所需工具、仪表及安装材料等均由中标人负责提供。</w:t>
      </w:r>
    </w:p>
    <w:p>
      <w:pPr>
        <w:pStyle w:val="28"/>
        <w:spacing w:line="360" w:lineRule="auto"/>
        <w:ind w:firstLine="480"/>
        <w:rPr>
          <w:highlight w:val="none"/>
        </w:rPr>
      </w:pPr>
      <w:r>
        <w:rPr>
          <w:rFonts w:hint="eastAsia"/>
          <w:highlight w:val="none"/>
        </w:rPr>
        <w:t>3、安装到位后的设备由中标人及用户共同进行质量验收签字。</w:t>
      </w:r>
    </w:p>
    <w:p>
      <w:pPr>
        <w:pStyle w:val="28"/>
        <w:spacing w:line="360" w:lineRule="auto"/>
        <w:ind w:firstLine="480"/>
        <w:rPr>
          <w:highlight w:val="none"/>
        </w:rPr>
      </w:pPr>
      <w:r>
        <w:rPr>
          <w:rFonts w:hint="eastAsia"/>
          <w:highlight w:val="none"/>
        </w:rPr>
        <w:t>4、验收前，中标人须提供完整的技术资料（包括产品中文说明书、中文用户手册、出厂明细表或装箱单、制造厂质量合格证书及其他相关文件资料）。</w:t>
      </w:r>
    </w:p>
    <w:p>
      <w:pPr>
        <w:pStyle w:val="28"/>
        <w:spacing w:line="360" w:lineRule="auto"/>
        <w:ind w:firstLine="480"/>
        <w:rPr>
          <w:highlight w:val="none"/>
        </w:rPr>
      </w:pPr>
      <w:r>
        <w:rPr>
          <w:rFonts w:hint="eastAsia"/>
          <w:highlight w:val="none"/>
        </w:rPr>
        <w:t>5、中标人向用户提供安装和维修所需特殊专用的工具、备件及清单和中文说明书，其费用包括在报价价格内。</w:t>
      </w:r>
    </w:p>
    <w:p>
      <w:pPr>
        <w:pStyle w:val="28"/>
        <w:spacing w:line="360" w:lineRule="auto"/>
        <w:ind w:firstLine="480"/>
        <w:rPr>
          <w:rStyle w:val="38"/>
          <w:highlight w:val="none"/>
        </w:rPr>
      </w:pPr>
      <w:r>
        <w:rPr>
          <w:rFonts w:hint="eastAsia"/>
          <w:highlight w:val="none"/>
        </w:rPr>
        <w:t>6、中标人在用户安装现场进行最终验收所发生的一切费用由中标人承担。</w:t>
      </w:r>
      <w:r>
        <w:rPr>
          <w:rFonts w:hint="eastAsia"/>
          <w:highlight w:val="none"/>
        </w:rPr>
        <w:br w:type="textWrapping"/>
      </w:r>
    </w:p>
    <w:p>
      <w:pPr>
        <w:pStyle w:val="28"/>
        <w:spacing w:before="75" w:beforeAutospacing="0" w:after="75" w:afterAutospacing="0" w:line="360" w:lineRule="auto"/>
        <w:jc w:val="center"/>
        <w:outlineLvl w:val="1"/>
        <w:rPr>
          <w:rStyle w:val="38"/>
          <w:highlight w:val="none"/>
        </w:rPr>
      </w:pPr>
      <w:bookmarkStart w:id="178" w:name="_Toc40254136"/>
      <w:bookmarkStart w:id="179" w:name="_Toc1754"/>
      <w:r>
        <w:rPr>
          <w:rStyle w:val="38"/>
          <w:rFonts w:hint="eastAsia"/>
          <w:highlight w:val="none"/>
        </w:rPr>
        <w:t>六、施工要求</w:t>
      </w:r>
      <w:bookmarkEnd w:id="178"/>
      <w:bookmarkEnd w:id="179"/>
    </w:p>
    <w:p>
      <w:pPr>
        <w:pStyle w:val="28"/>
        <w:spacing w:line="360" w:lineRule="auto"/>
        <w:ind w:firstLine="480"/>
        <w:rPr>
          <w:highlight w:val="none"/>
        </w:rPr>
      </w:pPr>
      <w:r>
        <w:rPr>
          <w:rFonts w:hint="eastAsia"/>
          <w:highlight w:val="none"/>
        </w:rPr>
        <w:t>1、中标人提供的材料、配件必须为全新货物，符合招标文件及施工图纸中的技术指标及要求。</w:t>
      </w:r>
    </w:p>
    <w:p>
      <w:pPr>
        <w:pStyle w:val="28"/>
        <w:spacing w:line="360" w:lineRule="auto"/>
        <w:ind w:firstLine="480"/>
        <w:rPr>
          <w:highlight w:val="none"/>
        </w:rPr>
      </w:pPr>
      <w:r>
        <w:rPr>
          <w:rFonts w:hint="eastAsia"/>
          <w:highlight w:val="none"/>
        </w:rPr>
        <w:t>2、所用材料必须达到国家标准要求，并提供产品质量保证承诺书。</w:t>
      </w:r>
    </w:p>
    <w:p>
      <w:pPr>
        <w:pStyle w:val="28"/>
        <w:spacing w:line="360" w:lineRule="auto"/>
        <w:ind w:firstLine="480"/>
        <w:rPr>
          <w:highlight w:val="none"/>
        </w:rPr>
      </w:pPr>
      <w:r>
        <w:rPr>
          <w:rFonts w:hint="eastAsia"/>
          <w:highlight w:val="none"/>
        </w:rPr>
        <w:t>3、在施工期间必须服从采购方安排，文明施工，保持施工现场整洁卫生，损坏物品须照价赔偿或负责修复；中标方须承诺施工中的安全责任，施工过程中的安全责任等均由施工单位自行负责，出现任何安全事故，施工单位须负全责。</w:t>
      </w:r>
    </w:p>
    <w:p>
      <w:pPr>
        <w:pStyle w:val="28"/>
        <w:spacing w:line="360" w:lineRule="auto"/>
        <w:ind w:firstLine="480"/>
        <w:rPr>
          <w:highlight w:val="none"/>
        </w:rPr>
      </w:pPr>
      <w:r>
        <w:rPr>
          <w:rFonts w:hint="eastAsia"/>
          <w:highlight w:val="none"/>
        </w:rPr>
        <w:t>4、中标方必须严格按照设设 计图纸、工程量清单、招标文件、技术标准、国家颁布的施工规范和福建省有关现行管理办法及地方标准进行施工安装，保证工程质量达到合格标准，否则采购人有权提出返工和补救要求，直到质量达到合格标准，而由此产生的一切损失（包括延误工期罚款）和施工费用均由施工单位负责，不得有异议。</w:t>
      </w:r>
    </w:p>
    <w:p>
      <w:pPr>
        <w:pStyle w:val="28"/>
        <w:spacing w:line="360" w:lineRule="auto"/>
        <w:ind w:firstLine="480"/>
        <w:rPr>
          <w:highlight w:val="none"/>
        </w:rPr>
      </w:pPr>
      <w:r>
        <w:rPr>
          <w:rFonts w:hint="eastAsia"/>
          <w:highlight w:val="none"/>
        </w:rPr>
        <w:t>5、如果中标方由于自身原因，造成不能如期竣工时，应赔偿由于延期交付给采购人带来的损失。</w:t>
      </w:r>
    </w:p>
    <w:p>
      <w:pPr>
        <w:pStyle w:val="28"/>
        <w:spacing w:line="360" w:lineRule="auto"/>
        <w:ind w:firstLine="480"/>
        <w:rPr>
          <w:highlight w:val="none"/>
        </w:rPr>
      </w:pPr>
      <w:r>
        <w:rPr>
          <w:rFonts w:hint="eastAsia"/>
          <w:highlight w:val="none"/>
        </w:rPr>
        <w:t>6、实际施工中，城市供电、供水部门的正常停电、停水（24小时之内）影响工期时，采购人不作现场签证，中标方在自报工期时应考虑该因素。但对以下原因造成竣工日期推迟的延误，经采购人现场代表确认后，工期相应顺延，即如果由于：一周内非供 应商原因造成停工累计48小时、不可抗力、合同中约定或采购人现场确认同意顺延的。</w:t>
      </w:r>
    </w:p>
    <w:p>
      <w:pPr>
        <w:pStyle w:val="28"/>
        <w:spacing w:line="360" w:lineRule="auto"/>
        <w:ind w:firstLine="510"/>
        <w:rPr>
          <w:highlight w:val="none"/>
        </w:rPr>
      </w:pPr>
      <w:r>
        <w:rPr>
          <w:rFonts w:hint="eastAsia"/>
          <w:highlight w:val="none"/>
        </w:rPr>
        <w:t>7、施工过程中，中标方应与有关单位互相配合协调，充分考虑现场的各种客观因素。</w:t>
      </w:r>
    </w:p>
    <w:p>
      <w:pPr>
        <w:pStyle w:val="28"/>
        <w:spacing w:line="360" w:lineRule="auto"/>
        <w:ind w:firstLine="510"/>
        <w:rPr>
          <w:highlight w:val="none"/>
        </w:rPr>
      </w:pPr>
      <w:r>
        <w:rPr>
          <w:rFonts w:hint="eastAsia"/>
          <w:highlight w:val="none"/>
        </w:rPr>
        <w:t>8、施工完毕后，及时将施工现场清理干净。</w:t>
      </w:r>
      <w:r>
        <w:rPr>
          <w:rFonts w:hint="eastAsia"/>
          <w:highlight w:val="none"/>
        </w:rPr>
        <w:br w:type="textWrapping"/>
      </w:r>
    </w:p>
    <w:p>
      <w:pPr>
        <w:pStyle w:val="28"/>
        <w:spacing w:before="75" w:beforeAutospacing="0" w:after="75" w:afterAutospacing="0" w:line="360" w:lineRule="auto"/>
        <w:jc w:val="center"/>
        <w:outlineLvl w:val="1"/>
        <w:rPr>
          <w:rStyle w:val="38"/>
          <w:highlight w:val="none"/>
        </w:rPr>
      </w:pPr>
      <w:bookmarkStart w:id="180" w:name="_Toc40254137"/>
      <w:bookmarkStart w:id="181" w:name="_Toc29450"/>
      <w:r>
        <w:rPr>
          <w:rStyle w:val="38"/>
          <w:rFonts w:hint="eastAsia"/>
          <w:highlight w:val="none"/>
        </w:rPr>
        <w:t>七、验收</w:t>
      </w:r>
      <w:bookmarkEnd w:id="180"/>
      <w:bookmarkEnd w:id="181"/>
    </w:p>
    <w:p>
      <w:pPr>
        <w:pStyle w:val="28"/>
        <w:spacing w:line="360" w:lineRule="auto"/>
        <w:rPr>
          <w:highlight w:val="none"/>
        </w:rPr>
      </w:pPr>
      <w:r>
        <w:rPr>
          <w:rFonts w:hint="eastAsia"/>
          <w:highlight w:val="none"/>
        </w:rPr>
        <w:t>   1、采购方根据《中标通知书》、采购文件、报价文件及与中标人签订的采购合同进行数量、质量、性能等方面的验收，验收时成交供 应商应派有经验和有能力的技术人员及施工人员配合。</w:t>
      </w:r>
      <w:r>
        <w:rPr>
          <w:rFonts w:hint="eastAsia"/>
          <w:highlight w:val="none"/>
        </w:rPr>
        <w:br w:type="textWrapping"/>
      </w:r>
      <w:r>
        <w:rPr>
          <w:rFonts w:hint="eastAsia"/>
          <w:highlight w:val="none"/>
        </w:rPr>
        <w:t>   2、工程质量应达到国家现行《工程施工质量验收规范》的合格标准，如未达到，须按采购文件要求拆除原材料重新施工直至验收合格为止。</w:t>
      </w:r>
      <w:r>
        <w:rPr>
          <w:rFonts w:hint="eastAsia"/>
          <w:highlight w:val="none"/>
        </w:rPr>
        <w:br w:type="textWrapping"/>
      </w:r>
      <w:r>
        <w:rPr>
          <w:rFonts w:hint="eastAsia"/>
          <w:highlight w:val="none"/>
        </w:rPr>
        <w:t>   3、中标人在采购人现场进行最终验收所发生的一切费用均由中标人承担（包含在投标价格中）。</w:t>
      </w:r>
      <w:r>
        <w:rPr>
          <w:rFonts w:hint="eastAsia"/>
          <w:highlight w:val="none"/>
        </w:rPr>
        <w:br w:type="textWrapping"/>
      </w:r>
      <w:r>
        <w:rPr>
          <w:rFonts w:hint="eastAsia"/>
          <w:highlight w:val="none"/>
        </w:rPr>
        <w:t>   4、工程验收由采购人组织相关职能部门进行，验收合格后成交供 应商可向采购人办理移交手续。</w:t>
      </w:r>
      <w:r>
        <w:rPr>
          <w:rFonts w:hint="eastAsia"/>
          <w:highlight w:val="none"/>
        </w:rPr>
        <w:br w:type="textWrapping"/>
      </w:r>
      <w:r>
        <w:rPr>
          <w:rFonts w:hint="eastAsia"/>
          <w:highlight w:val="none"/>
        </w:rPr>
        <w:t>   5、本工程验收时，第一次验收不合格的向成交供应商发出整改通知书，第二次验收不合格扣除合同金额的5%,第三次验收不合格扣除合同金额的10%，并以此类推。</w:t>
      </w:r>
      <w:r>
        <w:rPr>
          <w:rFonts w:hint="eastAsia"/>
          <w:highlight w:val="none"/>
        </w:rPr>
        <w:br w:type="textWrapping"/>
      </w:r>
      <w:r>
        <w:rPr>
          <w:rFonts w:hint="eastAsia"/>
          <w:highlight w:val="none"/>
        </w:rPr>
        <w:t>   6、遇到不能按时报验或无法按时完工的特殊情况时，成交供应商应及时通知采购人，经采购人书面确认后方可适当延期。否则，每超过一天，处以3000元的罚款，成交供应商无故超过工期壹个月不进行工程报验或办理工程结算，则合同中止且采购人有权继续追究成交供 应商在合同中止之前的相关责任。（处罚最高金额为合同总报价的5%）</w:t>
      </w:r>
    </w:p>
    <w:p>
      <w:pPr>
        <w:pStyle w:val="28"/>
        <w:spacing w:before="75" w:beforeAutospacing="0" w:after="75" w:afterAutospacing="0" w:line="360" w:lineRule="auto"/>
        <w:jc w:val="center"/>
        <w:outlineLvl w:val="1"/>
        <w:rPr>
          <w:rStyle w:val="38"/>
          <w:highlight w:val="none"/>
        </w:rPr>
      </w:pPr>
      <w:bookmarkStart w:id="182" w:name="_Toc40254138"/>
      <w:bookmarkStart w:id="183" w:name="_Toc19180"/>
      <w:r>
        <w:rPr>
          <w:rStyle w:val="38"/>
          <w:rFonts w:hint="eastAsia"/>
          <w:highlight w:val="none"/>
        </w:rPr>
        <w:t>八、服务要求</w:t>
      </w:r>
      <w:bookmarkEnd w:id="182"/>
      <w:bookmarkEnd w:id="183"/>
    </w:p>
    <w:p>
      <w:pPr>
        <w:pStyle w:val="28"/>
        <w:spacing w:line="360" w:lineRule="auto"/>
        <w:ind w:firstLine="480"/>
        <w:rPr>
          <w:highlight w:val="none"/>
        </w:rPr>
      </w:pPr>
      <w:r>
        <w:rPr>
          <w:rFonts w:hint="eastAsia"/>
          <w:highlight w:val="none"/>
        </w:rPr>
        <w:t>1、本批招标项目要求中标人对整体项目提供至少为期</w:t>
      </w:r>
      <w:r>
        <w:rPr>
          <w:rFonts w:hint="eastAsia"/>
          <w:b/>
          <w:bCs/>
          <w:color w:val="000000" w:themeColor="text1"/>
          <w:highlight w:val="none"/>
          <w14:textFill>
            <w14:solidFill>
              <w14:schemeClr w14:val="tx1"/>
            </w14:solidFill>
          </w14:textFill>
        </w:rPr>
        <w:t>壹年</w:t>
      </w:r>
      <w:r>
        <w:rPr>
          <w:rFonts w:hint="eastAsia"/>
          <w:color w:val="000000" w:themeColor="text1"/>
          <w:highlight w:val="none"/>
          <w14:textFill>
            <w14:solidFill>
              <w14:schemeClr w14:val="tx1"/>
            </w14:solidFill>
          </w14:textFill>
        </w:rPr>
        <w:t>的质保期</w:t>
      </w:r>
      <w:r>
        <w:rPr>
          <w:rFonts w:hint="eastAsia"/>
          <w:b/>
          <w:highlight w:val="none"/>
        </w:rPr>
        <w:t>（参数中若有特别标明质保的按参数中执行）</w:t>
      </w:r>
      <w:r>
        <w:rPr>
          <w:rFonts w:hint="eastAsia"/>
          <w:highlight w:val="none"/>
        </w:rPr>
        <w:t>，质保期自验收合格之日起计算。所有项目施工完毕验收合格后，项目保修为两年，质保期自验收合格之日起计算，具体按照国家有关规定执行。在保修期内发生质量问题或事故的，由中标人负责修复，费用由中标人承担。</w:t>
      </w:r>
    </w:p>
    <w:p>
      <w:pPr>
        <w:pStyle w:val="28"/>
        <w:spacing w:line="360" w:lineRule="auto"/>
        <w:ind w:firstLine="480"/>
        <w:rPr>
          <w:highlight w:val="none"/>
        </w:rPr>
      </w:pPr>
      <w:r>
        <w:rPr>
          <w:rFonts w:hint="eastAsia"/>
          <w:highlight w:val="none"/>
        </w:rPr>
        <w:t>2、投标人须单独列出各个设备、配件、工程等的分项报价。各分项及相应费率合计形成投标总价。</w:t>
      </w:r>
    </w:p>
    <w:p>
      <w:pPr>
        <w:pStyle w:val="28"/>
        <w:spacing w:after="240" w:afterAutospacing="0" w:line="360" w:lineRule="auto"/>
        <w:ind w:firstLine="480"/>
        <w:rPr>
          <w:highlight w:val="none"/>
        </w:rPr>
      </w:pPr>
      <w:r>
        <w:rPr>
          <w:rFonts w:hint="eastAsia"/>
          <w:highlight w:val="none"/>
        </w:rPr>
        <w:t>3、投标单位应根据自身条件提供针对本次招标的服务承诺书。</w:t>
      </w:r>
    </w:p>
    <w:p>
      <w:pPr>
        <w:pStyle w:val="28"/>
        <w:spacing w:before="75" w:beforeAutospacing="0" w:after="75" w:afterAutospacing="0" w:line="360" w:lineRule="auto"/>
        <w:jc w:val="center"/>
        <w:outlineLvl w:val="1"/>
        <w:rPr>
          <w:rStyle w:val="38"/>
          <w:highlight w:val="none"/>
        </w:rPr>
      </w:pPr>
      <w:bookmarkStart w:id="184" w:name="_Toc40254139"/>
      <w:bookmarkStart w:id="185" w:name="_Toc10465"/>
      <w:r>
        <w:rPr>
          <w:rStyle w:val="38"/>
          <w:rFonts w:hint="eastAsia"/>
          <w:highlight w:val="none"/>
        </w:rPr>
        <w:t>九、违约责任</w:t>
      </w:r>
      <w:bookmarkEnd w:id="184"/>
      <w:bookmarkEnd w:id="185"/>
    </w:p>
    <w:p>
      <w:pPr>
        <w:pStyle w:val="28"/>
        <w:spacing w:line="360" w:lineRule="auto"/>
        <w:ind w:firstLine="240"/>
        <w:rPr>
          <w:highlight w:val="none"/>
        </w:rPr>
      </w:pPr>
      <w:r>
        <w:rPr>
          <w:rFonts w:hint="eastAsia"/>
          <w:highlight w:val="none"/>
        </w:rPr>
        <w:t>  如果中标人未能按合同规定的时间按时交付工程的（不可抗力除外），在中标人书面同意支付延期交货违约金的条件下，采购人有权选择同意延长交付期还是不予延长交付期，采购人同意延长交付期的，延期交付的时间由双方别行确定。延期交付违约金的支付采购人有权从未付的合同价款中扣除。</w:t>
      </w:r>
      <w:r>
        <w:rPr>
          <w:rFonts w:hint="eastAsia"/>
          <w:color w:val="auto"/>
          <w:highlight w:val="none"/>
        </w:rPr>
        <w:t>延期交付违约金比率为每迟交1天，按人民币</w:t>
      </w:r>
      <w:r>
        <w:rPr>
          <w:rFonts w:hint="eastAsia"/>
          <w:b/>
          <w:bCs/>
          <w:color w:val="auto"/>
          <w:highlight w:val="none"/>
          <w:u w:val="single"/>
        </w:rPr>
        <w:t>3000</w:t>
      </w:r>
      <w:r>
        <w:rPr>
          <w:rFonts w:hint="eastAsia"/>
          <w:b/>
          <w:bCs/>
          <w:color w:val="auto"/>
          <w:highlight w:val="none"/>
        </w:rPr>
        <w:t>元</w:t>
      </w:r>
      <w:r>
        <w:rPr>
          <w:rFonts w:hint="eastAsia"/>
          <w:color w:val="auto"/>
          <w:highlight w:val="none"/>
        </w:rPr>
        <w:t>/天，</w:t>
      </w:r>
      <w:r>
        <w:rPr>
          <w:rFonts w:hint="eastAsia"/>
          <w:highlight w:val="none"/>
        </w:rPr>
        <w:t>支付违约金。如采购人不同意延长交付期，采购人可以选择合同终止，因中标人延期交付引起的一切损失由中标人加倍赔偿。</w:t>
      </w:r>
    </w:p>
    <w:p>
      <w:pPr>
        <w:pStyle w:val="28"/>
        <w:spacing w:before="75" w:beforeAutospacing="0" w:after="75" w:afterAutospacing="0" w:line="360" w:lineRule="auto"/>
        <w:jc w:val="center"/>
        <w:outlineLvl w:val="1"/>
        <w:rPr>
          <w:rStyle w:val="38"/>
          <w:highlight w:val="none"/>
        </w:rPr>
      </w:pPr>
      <w:bookmarkStart w:id="186" w:name="_Toc40254140"/>
      <w:bookmarkStart w:id="187" w:name="_Toc28004"/>
      <w:r>
        <w:rPr>
          <w:rStyle w:val="38"/>
          <w:rFonts w:hint="eastAsia"/>
          <w:highlight w:val="none"/>
        </w:rPr>
        <w:t>十、其他</w:t>
      </w:r>
      <w:bookmarkEnd w:id="186"/>
      <w:bookmarkEnd w:id="187"/>
    </w:p>
    <w:p>
      <w:pPr>
        <w:spacing w:line="360" w:lineRule="auto"/>
        <w:rPr>
          <w:rFonts w:ascii="宋体" w:hAnsi="宋体" w:cs="宋体"/>
          <w:sz w:val="24"/>
          <w:highlight w:val="none"/>
        </w:rPr>
      </w:pPr>
      <w:r>
        <w:rPr>
          <w:rFonts w:hint="eastAsia" w:ascii="宋体" w:hAnsi="宋体" w:cs="宋体"/>
          <w:sz w:val="24"/>
          <w:highlight w:val="none"/>
        </w:rPr>
        <w:t>1、 本项目为交钥匙工程，实行合同总包干价。</w:t>
      </w:r>
    </w:p>
    <w:p>
      <w:pPr>
        <w:spacing w:line="360" w:lineRule="auto"/>
        <w:rPr>
          <w:rFonts w:ascii="宋体" w:hAnsi="宋体" w:cs="宋体"/>
          <w:b/>
          <w:bCs/>
          <w:sz w:val="24"/>
          <w:highlight w:val="none"/>
          <w:u w:val="single"/>
        </w:rPr>
      </w:pPr>
      <w:r>
        <w:rPr>
          <w:rFonts w:hint="eastAsia" w:ascii="宋体" w:hAnsi="宋体" w:cs="宋体"/>
          <w:b/>
          <w:bCs/>
          <w:sz w:val="24"/>
          <w:highlight w:val="none"/>
          <w:u w:val="single"/>
        </w:rPr>
        <w:t>2</w:t>
      </w:r>
      <w:r>
        <w:rPr>
          <w:rFonts w:hint="eastAsia" w:ascii="宋体" w:hAnsi="宋体" w:cs="宋体"/>
          <w:sz w:val="24"/>
          <w:highlight w:val="none"/>
        </w:rPr>
        <w:t>、</w:t>
      </w:r>
      <w:r>
        <w:rPr>
          <w:rFonts w:hint="eastAsia" w:ascii="宋体" w:hAnsi="宋体" w:cs="宋体"/>
          <w:b/>
          <w:bCs/>
          <w:sz w:val="24"/>
          <w:highlight w:val="none"/>
          <w:u w:val="single"/>
        </w:rPr>
        <w:t xml:space="preserve"> 本项目采购人为永安市自来水公司和永安市新川水务有限公司，签订合同时需两个采购人和中标方共同签订合同，付款单位是永安市新川水务有限公司。</w:t>
      </w:r>
    </w:p>
    <w:p>
      <w:pPr>
        <w:spacing w:line="360" w:lineRule="auto"/>
        <w:rPr>
          <w:rFonts w:ascii="宋体" w:hAnsi="宋体" w:cs="宋体"/>
          <w:sz w:val="24"/>
          <w:highlight w:val="none"/>
        </w:rPr>
      </w:pPr>
      <w:r>
        <w:rPr>
          <w:rFonts w:hint="eastAsia" w:ascii="宋体" w:hAnsi="宋体" w:cs="宋体"/>
          <w:sz w:val="24"/>
          <w:highlight w:val="none"/>
        </w:rPr>
        <w:t>3、投标人选定的投标货物技术性能必须符合或优于招标文件的技术性能要求。</w:t>
      </w:r>
    </w:p>
    <w:p>
      <w:pPr>
        <w:spacing w:line="360" w:lineRule="auto"/>
        <w:rPr>
          <w:rFonts w:ascii="宋体" w:hAnsi="宋体" w:cs="宋体"/>
          <w:sz w:val="24"/>
          <w:highlight w:val="none"/>
        </w:rPr>
      </w:pPr>
      <w:r>
        <w:rPr>
          <w:rFonts w:hint="eastAsia" w:ascii="宋体" w:hAnsi="宋体" w:cs="宋体"/>
          <w:sz w:val="24"/>
          <w:highlight w:val="none"/>
        </w:rPr>
        <w:t>4、投标人应根据招标文件的技术要求条款，在投标文件中详细说明所提供设备的品牌、技术规格和参数、产地。</w:t>
      </w:r>
    </w:p>
    <w:p>
      <w:pPr>
        <w:spacing w:line="360" w:lineRule="auto"/>
        <w:rPr>
          <w:rFonts w:ascii="宋体" w:hAnsi="宋体" w:cs="宋体"/>
          <w:sz w:val="24"/>
          <w:highlight w:val="none"/>
        </w:rPr>
      </w:pPr>
      <w:r>
        <w:rPr>
          <w:rFonts w:hint="eastAsia" w:ascii="宋体" w:hAnsi="宋体" w:cs="宋体"/>
          <w:sz w:val="24"/>
          <w:highlight w:val="none"/>
        </w:rPr>
        <w:t>5、本文所述技术要求，应保证货物所需的最低要求，如有遗漏，投标人应予以补充，否则，一旦中标将认为投标人认同遗漏部分并免费提供。</w:t>
      </w:r>
    </w:p>
    <w:p>
      <w:pPr>
        <w:spacing w:line="360" w:lineRule="auto"/>
        <w:rPr>
          <w:rFonts w:ascii="宋体" w:hAnsi="宋体" w:cs="宋体"/>
          <w:sz w:val="24"/>
          <w:highlight w:val="none"/>
        </w:rPr>
      </w:pPr>
      <w:r>
        <w:rPr>
          <w:rFonts w:hint="eastAsia" w:ascii="宋体" w:hAnsi="宋体" w:cs="宋体"/>
          <w:sz w:val="24"/>
          <w:highlight w:val="none"/>
        </w:rPr>
        <w:t>6、投标人报价应包含货物的制造、包装、运输、装卸、保险、安装、安装调试、验收、人员培训、检验、税金等一切费用。</w:t>
      </w:r>
    </w:p>
    <w:p>
      <w:pPr>
        <w:spacing w:line="360" w:lineRule="auto"/>
        <w:rPr>
          <w:rFonts w:ascii="宋体" w:hAnsi="宋体" w:cs="宋体"/>
          <w:sz w:val="24"/>
          <w:highlight w:val="none"/>
        </w:rPr>
      </w:pPr>
      <w:r>
        <w:rPr>
          <w:rFonts w:hint="eastAsia" w:ascii="宋体" w:hAnsi="宋体" w:cs="宋体"/>
          <w:sz w:val="24"/>
          <w:highlight w:val="none"/>
        </w:rPr>
        <w:t>7、本技术要求中所发生的一切费用均包含在报价中。</w:t>
      </w:r>
    </w:p>
    <w:p>
      <w:pPr>
        <w:pStyle w:val="28"/>
        <w:spacing w:before="75" w:beforeAutospacing="0" w:after="75" w:afterAutospacing="0" w:line="360" w:lineRule="auto"/>
        <w:jc w:val="center"/>
        <w:outlineLvl w:val="1"/>
        <w:rPr>
          <w:rStyle w:val="38"/>
          <w:highlight w:val="none"/>
        </w:rPr>
      </w:pPr>
      <w:bookmarkStart w:id="188" w:name="_Toc40254141"/>
      <w:bookmarkStart w:id="189" w:name="_Toc5926"/>
      <w:r>
        <w:rPr>
          <w:rStyle w:val="38"/>
          <w:rFonts w:hint="eastAsia"/>
          <w:highlight w:val="none"/>
        </w:rPr>
        <w:t>十一、现场勘查</w:t>
      </w:r>
      <w:bookmarkEnd w:id="188"/>
      <w:bookmarkEnd w:id="189"/>
    </w:p>
    <w:p>
      <w:pPr>
        <w:pStyle w:val="28"/>
        <w:spacing w:line="360" w:lineRule="auto"/>
        <w:ind w:firstLine="480" w:firstLineChars="200"/>
        <w:rPr>
          <w:color w:val="auto"/>
          <w:highlight w:val="none"/>
        </w:rPr>
      </w:pPr>
      <w:r>
        <w:rPr>
          <w:rFonts w:hint="eastAsia"/>
          <w:highlight w:val="none"/>
        </w:rPr>
        <w:t>1、由于项目的复杂性及重要性，各潜在投标人应在报名截止时间后的第一个工作日上午10:00（北京时间），在永安市石墨和石墨烯产业园园区集合进行现场勘察（其余时间不安排现场勘察）</w:t>
      </w:r>
      <w:r>
        <w:rPr>
          <w:rFonts w:hint="eastAsia"/>
          <w:color w:val="auto"/>
          <w:highlight w:val="none"/>
        </w:rPr>
        <w:t>。联系人：杨工； 联系电话：18760298650。超过时间进行踏勘的将被拒绝受理。为达成项目要求，硬件设备及对于安装现场及位置复杂性等原因造成费用增加时，各投标人应综合考虑在报价内。采购人对投标人实地勘察后做出的任何推论、理解和结论均不负责任，踏勘现场所发生的费用由潜在投标人自行承担。</w:t>
      </w:r>
    </w:p>
    <w:p>
      <w:pPr>
        <w:pStyle w:val="28"/>
        <w:spacing w:line="360" w:lineRule="auto"/>
        <w:ind w:firstLine="480" w:firstLineChars="200"/>
        <w:rPr>
          <w:color w:val="auto"/>
          <w:highlight w:val="none"/>
        </w:rPr>
      </w:pPr>
      <w:r>
        <w:rPr>
          <w:rFonts w:hint="eastAsia"/>
          <w:color w:val="auto"/>
          <w:highlight w:val="none"/>
        </w:rPr>
        <w:t>2、投标人应提交已勘察并了解现场情况声明函，对以下事项进行确认：A、投标人已详细考察过本项目现场情况，并自行承担可能因对现场理解不正确或误解而产生的相应后果和责任。B、承诺并声明：投标人已了解有关编制投标文件所涉及现场的所有资料，为达成项目要求，投标报价已综合硬件设备及对于安装现场及位置复杂性等原因可能造成的价格变动所产生的费用增加的因素，各投标人应综合考虑在报价内,今后在履行合同过程中不再提出存在此原因需调整价格。</w:t>
      </w:r>
    </w:p>
    <w:p>
      <w:pPr>
        <w:pStyle w:val="28"/>
        <w:spacing w:line="360" w:lineRule="auto"/>
        <w:ind w:firstLine="480" w:firstLineChars="200"/>
        <w:rPr>
          <w:color w:val="auto"/>
          <w:highlight w:val="none"/>
        </w:rPr>
      </w:pPr>
      <w:r>
        <w:rPr>
          <w:rFonts w:hint="eastAsia"/>
          <w:color w:val="auto"/>
          <w:highlight w:val="none"/>
        </w:rPr>
        <w:t>3、踏勘现场时，投标人应仔细了解情况，并充分了解自己承担的风险、义务和责任。在踏勘现场过程中，投标人若发生意外情况，不论何原因造成，采购人均不负责。</w:t>
      </w:r>
    </w:p>
    <w:p>
      <w:pPr>
        <w:pStyle w:val="28"/>
        <w:spacing w:line="360" w:lineRule="auto"/>
        <w:ind w:firstLine="480" w:firstLineChars="200"/>
        <w:rPr>
          <w:highlight w:val="none"/>
        </w:rPr>
      </w:pPr>
      <w:r>
        <w:rPr>
          <w:rFonts w:hint="eastAsia"/>
          <w:color w:val="auto"/>
          <w:highlight w:val="none"/>
        </w:rPr>
        <w:t>4、现场勘察完毕，采购人将在已勘察过的潜在投标人的现场勘查确认书（投标人自备）上盖章或签字，以确认该投标人已勘察过现场。经确认的现场勘查确认书（投标人自备）原件作为投标文件的一部分，否则按无效投标处理。</w:t>
      </w:r>
    </w:p>
    <w:p>
      <w:pPr>
        <w:pStyle w:val="28"/>
        <w:spacing w:before="75" w:beforeAutospacing="0" w:after="75" w:afterAutospacing="0" w:line="360" w:lineRule="auto"/>
        <w:jc w:val="center"/>
        <w:outlineLvl w:val="1"/>
        <w:rPr>
          <w:rStyle w:val="38"/>
          <w:highlight w:val="none"/>
        </w:rPr>
      </w:pPr>
      <w:bookmarkStart w:id="190" w:name="_Toc40254142"/>
      <w:bookmarkStart w:id="191" w:name="_Toc15535"/>
      <w:r>
        <w:rPr>
          <w:rStyle w:val="38"/>
          <w:rFonts w:hint="eastAsia"/>
          <w:highlight w:val="none"/>
        </w:rPr>
        <w:t>十二、商务条件</w:t>
      </w:r>
      <w:bookmarkEnd w:id="190"/>
      <w:bookmarkEnd w:id="191"/>
    </w:p>
    <w:p>
      <w:pPr>
        <w:pStyle w:val="28"/>
        <w:spacing w:line="360" w:lineRule="auto"/>
        <w:rPr>
          <w:color w:val="FF0000"/>
          <w:highlight w:val="none"/>
        </w:rPr>
      </w:pPr>
      <w:r>
        <w:rPr>
          <w:rFonts w:hint="eastAsia"/>
          <w:highlight w:val="none"/>
        </w:rPr>
        <w:t xml:space="preserve">1、交付地点：采购人指定地点 </w:t>
      </w:r>
      <w:r>
        <w:rPr>
          <w:rFonts w:hint="eastAsia"/>
          <w:highlight w:val="none"/>
        </w:rPr>
        <w:br w:type="textWrapping"/>
      </w:r>
      <w:r>
        <w:rPr>
          <w:rFonts w:hint="eastAsia"/>
          <w:highlight w:val="none"/>
        </w:rPr>
        <w:t>2、交付时间：合同签订后60日内安装调试完毕验收合格交付使用。</w:t>
      </w:r>
    </w:p>
    <w:p>
      <w:pPr>
        <w:numPr>
          <w:ilvl w:val="0"/>
          <w:numId w:val="24"/>
        </w:numPr>
        <w:spacing w:line="360" w:lineRule="auto"/>
        <w:rPr>
          <w:rFonts w:ascii="宋体" w:hAnsi="宋体" w:cs="宋体"/>
          <w:sz w:val="24"/>
          <w:highlight w:val="none"/>
        </w:rPr>
      </w:pPr>
      <w:r>
        <w:rPr>
          <w:rFonts w:hint="eastAsia" w:ascii="宋体" w:hAnsi="宋体" w:cs="宋体"/>
          <w:sz w:val="24"/>
          <w:highlight w:val="none"/>
        </w:rPr>
        <w:t>交付条件：验收合格付合同款</w:t>
      </w:r>
      <w:r>
        <w:rPr>
          <w:rStyle w:val="38"/>
          <w:rFonts w:hint="eastAsia" w:ascii="宋体" w:hAnsi="宋体" w:cs="宋体"/>
          <w:highlight w:val="none"/>
        </w:rPr>
        <w:br w:type="textWrapping"/>
      </w:r>
      <w:r>
        <w:rPr>
          <w:rStyle w:val="38"/>
          <w:rFonts w:hint="eastAsia" w:ascii="宋体" w:hAnsi="宋体" w:cs="宋体"/>
          <w:highlight w:val="none"/>
        </w:rPr>
        <w:t>4、是否收取履约保证金： 是。履约保证金百分比：</w:t>
      </w:r>
      <w:r>
        <w:rPr>
          <w:rStyle w:val="38"/>
          <w:rFonts w:hint="eastAsia" w:ascii="宋体" w:hAnsi="宋体" w:cs="宋体"/>
          <w:highlight w:val="none"/>
          <w:lang w:eastAsia="zh-CN"/>
        </w:rPr>
        <w:t>合同总金额的</w:t>
      </w:r>
      <w:r>
        <w:rPr>
          <w:rStyle w:val="38"/>
          <w:rFonts w:hint="eastAsia" w:ascii="宋体" w:hAnsi="宋体" w:cs="宋体"/>
          <w:highlight w:val="none"/>
          <w:lang w:val="en-US" w:eastAsia="zh-CN"/>
        </w:rPr>
        <w:t>10</w:t>
      </w:r>
      <w:r>
        <w:rPr>
          <w:rStyle w:val="38"/>
          <w:rFonts w:hint="eastAsia" w:ascii="宋体" w:hAnsi="宋体" w:cs="宋体"/>
          <w:highlight w:val="none"/>
        </w:rPr>
        <w:t>%，</w:t>
      </w:r>
      <w:r>
        <w:rPr>
          <w:rStyle w:val="38"/>
          <w:rFonts w:hint="eastAsia" w:ascii="宋体" w:hAnsi="宋体" w:cs="宋体"/>
          <w:highlight w:val="none"/>
          <w:lang w:eastAsia="zh-CN"/>
        </w:rPr>
        <w:t>以</w:t>
      </w:r>
      <w:r>
        <w:rPr>
          <w:rStyle w:val="38"/>
          <w:rFonts w:hint="eastAsia" w:ascii="宋体" w:hAnsi="宋体" w:cs="宋体"/>
          <w:highlight w:val="none"/>
        </w:rPr>
        <w:t>转帐方式提交。说明：所有参加本次包采购活动的投标人，视为承诺在签订合同前同意缴纳合同履约保证金；中标人须在收到中标通知书发出后签订合同前向采购人缴纳合同履约保证金，中标人未按规定缴纳合同履约保证金的，视为中标人放弃中标。中标人在合同期内无违约行为，合同期满15日内，采购人将合同履约保证金无息退还。</w:t>
      </w:r>
      <w:r>
        <w:rPr>
          <w:rStyle w:val="38"/>
          <w:rFonts w:hint="eastAsia" w:ascii="宋体" w:hAnsi="宋体" w:cs="宋体"/>
          <w:highlight w:val="none"/>
        </w:rPr>
        <w:br w:type="textWrapping"/>
      </w:r>
      <w:r>
        <w:rPr>
          <w:rFonts w:hint="eastAsia" w:ascii="宋体" w:hAnsi="宋体" w:cs="宋体"/>
          <w:sz w:val="24"/>
          <w:highlight w:val="none"/>
        </w:rPr>
        <w:br w:type="textWrapping"/>
      </w:r>
      <w:r>
        <w:rPr>
          <w:rFonts w:hint="eastAsia" w:ascii="宋体" w:hAnsi="宋体" w:cs="宋体"/>
          <w:sz w:val="24"/>
          <w:highlight w:val="none"/>
        </w:rPr>
        <w:t>5、是否邀请投标人参与验收：否</w:t>
      </w:r>
      <w:r>
        <w:rPr>
          <w:rFonts w:hint="eastAsia" w:ascii="宋体" w:hAnsi="宋体" w:cs="宋体"/>
          <w:sz w:val="24"/>
          <w:highlight w:val="none"/>
        </w:rPr>
        <w:br w:type="textWrapping"/>
      </w:r>
      <w:r>
        <w:rPr>
          <w:rFonts w:hint="eastAsia" w:ascii="宋体" w:hAnsi="宋体" w:cs="宋体"/>
          <w:sz w:val="24"/>
          <w:highlight w:val="none"/>
        </w:rPr>
        <w:t xml:space="preserve">6、验收方式数据表格 </w:t>
      </w:r>
    </w:p>
    <w:tbl>
      <w:tblPr>
        <w:tblStyle w:val="33"/>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917"/>
        <w:gridCol w:w="76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sz w:val="24"/>
                <w:highlight w:val="none"/>
              </w:rPr>
            </w:pPr>
            <w:r>
              <w:rPr>
                <w:rFonts w:hint="eastAsia" w:ascii="宋体" w:hAnsi="宋体" w:cs="宋体"/>
                <w:kern w:val="0"/>
                <w:sz w:val="24"/>
                <w:highlight w:val="none"/>
              </w:rPr>
              <w:t>验收期次</w:t>
            </w:r>
          </w:p>
        </w:tc>
        <w:tc>
          <w:tcPr>
            <w:tcW w:w="400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sz w:val="24"/>
                <w:highlight w:val="none"/>
              </w:rPr>
            </w:pPr>
            <w:r>
              <w:rPr>
                <w:rFonts w:hint="eastAsia" w:ascii="宋体" w:hAnsi="宋体" w:cs="宋体"/>
                <w:kern w:val="0"/>
                <w:sz w:val="24"/>
                <w:highlight w:val="none"/>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sz w:val="24"/>
                <w:highlight w:val="none"/>
              </w:rPr>
            </w:pPr>
            <w:r>
              <w:rPr>
                <w:rFonts w:hint="eastAsia" w:ascii="宋体" w:hAnsi="宋体" w:cs="宋体"/>
                <w:kern w:val="0"/>
                <w:sz w:val="24"/>
                <w:highlight w:val="none"/>
              </w:rPr>
              <w:t>1</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sz w:val="24"/>
                <w:highlight w:val="none"/>
              </w:rPr>
            </w:pPr>
            <w:r>
              <w:rPr>
                <w:rFonts w:hint="eastAsia" w:ascii="宋体" w:hAnsi="宋体" w:cs="宋体"/>
                <w:kern w:val="0"/>
                <w:sz w:val="24"/>
                <w:highlight w:val="none"/>
              </w:rPr>
              <w:t>确保材料与建筑环境相接近</w:t>
            </w:r>
          </w:p>
        </w:tc>
      </w:tr>
    </w:tbl>
    <w:p>
      <w:pPr>
        <w:widowControl/>
        <w:spacing w:line="360" w:lineRule="auto"/>
        <w:jc w:val="left"/>
        <w:rPr>
          <w:rFonts w:ascii="宋体" w:hAnsi="宋体" w:cs="宋体"/>
          <w:sz w:val="24"/>
          <w:highlight w:val="none"/>
        </w:rPr>
      </w:pPr>
      <w:r>
        <w:rPr>
          <w:rStyle w:val="38"/>
          <w:rFonts w:hint="eastAsia" w:ascii="宋体" w:hAnsi="宋体" w:cs="宋体"/>
          <w:kern w:val="0"/>
          <w:sz w:val="24"/>
          <w:highlight w:val="none"/>
        </w:rPr>
        <w:t xml:space="preserve">7、支付方式数据表格 </w:t>
      </w:r>
    </w:p>
    <w:tbl>
      <w:tblPr>
        <w:tblStyle w:val="33"/>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917"/>
        <w:gridCol w:w="1917"/>
        <w:gridCol w:w="57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sz w:val="24"/>
                <w:highlight w:val="none"/>
              </w:rPr>
            </w:pPr>
            <w:r>
              <w:rPr>
                <w:rFonts w:hint="eastAsia" w:ascii="宋体" w:hAnsi="宋体" w:cs="宋体"/>
                <w:kern w:val="0"/>
                <w:sz w:val="24"/>
                <w:highlight w:val="none"/>
              </w:rPr>
              <w:t>支付期次</w:t>
            </w:r>
          </w:p>
        </w:tc>
        <w:tc>
          <w:tcPr>
            <w:tcW w:w="100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sz w:val="24"/>
                <w:highlight w:val="none"/>
              </w:rPr>
            </w:pPr>
            <w:r>
              <w:rPr>
                <w:rFonts w:hint="eastAsia" w:ascii="宋体" w:hAnsi="宋体" w:cs="宋体"/>
                <w:kern w:val="0"/>
                <w:sz w:val="24"/>
                <w:highlight w:val="none"/>
              </w:rPr>
              <w:t>支付比例(%)</w:t>
            </w:r>
          </w:p>
        </w:tc>
        <w:tc>
          <w:tcPr>
            <w:tcW w:w="300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sz w:val="24"/>
                <w:highlight w:val="none"/>
              </w:rPr>
            </w:pPr>
            <w:r>
              <w:rPr>
                <w:rFonts w:hint="eastAsia" w:ascii="宋体" w:hAnsi="宋体" w:cs="宋体"/>
                <w:kern w:val="0"/>
                <w:sz w:val="24"/>
                <w:highlight w:val="none"/>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sz w:val="24"/>
                <w:highlight w:val="none"/>
              </w:rPr>
            </w:pPr>
            <w:r>
              <w:rPr>
                <w:rFonts w:hint="eastAsia" w:ascii="宋体" w:hAnsi="宋体" w:cs="宋体"/>
                <w:kern w:val="0"/>
                <w:sz w:val="24"/>
                <w:highlight w:val="none"/>
              </w:rPr>
              <w:t>1</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hint="default" w:ascii="宋体" w:hAnsi="宋体" w:eastAsia="宋体" w:cs="宋体"/>
                <w:sz w:val="24"/>
                <w:highlight w:val="none"/>
                <w:lang w:val="en-US" w:eastAsia="zh-CN"/>
              </w:rPr>
            </w:pPr>
            <w:r>
              <w:rPr>
                <w:rFonts w:hint="eastAsia" w:ascii="宋体" w:hAnsi="宋体" w:cs="宋体"/>
                <w:kern w:val="0"/>
                <w:sz w:val="24"/>
                <w:highlight w:val="none"/>
                <w:lang w:val="en-US" w:eastAsia="zh-CN"/>
              </w:rPr>
              <w:t>10</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sz w:val="24"/>
                <w:highlight w:val="none"/>
              </w:rPr>
            </w:pPr>
            <w:r>
              <w:rPr>
                <w:rFonts w:hint="eastAsia" w:ascii="宋体" w:hAnsi="宋体" w:cs="宋体"/>
                <w:kern w:val="0"/>
                <w:sz w:val="24"/>
                <w:highlight w:val="none"/>
              </w:rPr>
              <w:t>在合同签订后7个工作日内由</w:t>
            </w:r>
            <w:r>
              <w:rPr>
                <w:rFonts w:hint="eastAsia" w:ascii="宋体" w:hAnsi="宋体" w:cs="宋体"/>
                <w:color w:val="0000FF"/>
                <w:kern w:val="0"/>
                <w:sz w:val="24"/>
                <w:highlight w:val="none"/>
              </w:rPr>
              <w:t>永安市新川水务有限公司</w:t>
            </w:r>
            <w:r>
              <w:rPr>
                <w:rFonts w:hint="eastAsia" w:ascii="宋体" w:hAnsi="宋体" w:cs="宋体"/>
                <w:kern w:val="0"/>
                <w:sz w:val="24"/>
                <w:highlight w:val="none"/>
              </w:rPr>
              <w:t>预付合同金额的</w:t>
            </w:r>
            <w:r>
              <w:rPr>
                <w:rFonts w:hint="eastAsia" w:ascii="宋体" w:hAnsi="宋体" w:cs="宋体"/>
                <w:kern w:val="0"/>
                <w:sz w:val="24"/>
                <w:highlight w:val="none"/>
                <w:lang w:val="en-US" w:eastAsia="zh-CN"/>
              </w:rPr>
              <w:t>10</w:t>
            </w:r>
            <w:r>
              <w:rPr>
                <w:rFonts w:hint="eastAsia" w:ascii="宋体" w:hAnsi="宋体" w:cs="宋体"/>
                <w:kern w:val="0"/>
                <w:sz w:val="24"/>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2</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85</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全部完工并验收合格后7个工作日内由</w:t>
            </w:r>
            <w:r>
              <w:rPr>
                <w:rFonts w:hint="eastAsia" w:ascii="宋体" w:hAnsi="宋体" w:cs="宋体"/>
                <w:color w:val="0000FF"/>
                <w:kern w:val="0"/>
                <w:sz w:val="24"/>
                <w:highlight w:val="none"/>
              </w:rPr>
              <w:t>永安市新川水务有限公司</w:t>
            </w:r>
            <w:r>
              <w:rPr>
                <w:rFonts w:hint="eastAsia" w:ascii="宋体" w:hAnsi="宋体" w:cs="宋体"/>
                <w:kern w:val="0"/>
                <w:sz w:val="24"/>
                <w:highlight w:val="none"/>
              </w:rPr>
              <w:t>支付合同总价的</w:t>
            </w:r>
            <w:r>
              <w:rPr>
                <w:rFonts w:hint="eastAsia" w:ascii="宋体" w:hAnsi="宋体" w:cs="宋体"/>
                <w:kern w:val="0"/>
                <w:sz w:val="24"/>
                <w:highlight w:val="none"/>
                <w:lang w:val="en-US" w:eastAsia="zh-CN"/>
              </w:rPr>
              <w:t>85</w:t>
            </w:r>
            <w:r>
              <w:rPr>
                <w:rFonts w:hint="eastAsia" w:ascii="宋体" w:hAnsi="宋体" w:cs="宋体"/>
                <w:kern w:val="0"/>
                <w:sz w:val="24"/>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sz w:val="24"/>
                <w:highlight w:val="none"/>
              </w:rPr>
            </w:pPr>
            <w:r>
              <w:rPr>
                <w:rFonts w:hint="eastAsia" w:ascii="宋体" w:hAnsi="宋体" w:cs="宋体"/>
                <w:kern w:val="0"/>
                <w:sz w:val="24"/>
                <w:highlight w:val="none"/>
              </w:rPr>
              <w:t>3</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sz w:val="24"/>
                <w:highlight w:val="none"/>
              </w:rPr>
            </w:pPr>
            <w:r>
              <w:rPr>
                <w:rFonts w:hint="eastAsia" w:ascii="宋体" w:hAnsi="宋体" w:cs="宋体"/>
                <w:kern w:val="0"/>
                <w:sz w:val="24"/>
                <w:highlight w:val="none"/>
              </w:rPr>
              <w:t>5</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s="宋体"/>
                <w:sz w:val="24"/>
                <w:highlight w:val="none"/>
              </w:rPr>
            </w:pPr>
            <w:r>
              <w:rPr>
                <w:rFonts w:hint="eastAsia" w:ascii="宋体" w:hAnsi="宋体" w:cs="宋体"/>
                <w:kern w:val="0"/>
                <w:sz w:val="24"/>
                <w:highlight w:val="none"/>
              </w:rPr>
              <w:t>剩余5%合同款作为质保金，项目验收完毕一年后无任何质量问题或质量问题处理完毕后由</w:t>
            </w:r>
            <w:r>
              <w:rPr>
                <w:rFonts w:hint="eastAsia" w:ascii="宋体" w:hAnsi="宋体" w:cs="宋体"/>
                <w:color w:val="0000FF"/>
                <w:kern w:val="0"/>
                <w:sz w:val="24"/>
                <w:highlight w:val="none"/>
              </w:rPr>
              <w:t>永安市新川水务有限公司</w:t>
            </w:r>
            <w:r>
              <w:rPr>
                <w:rFonts w:hint="eastAsia" w:ascii="宋体" w:hAnsi="宋体" w:cs="宋体"/>
                <w:kern w:val="0"/>
                <w:sz w:val="24"/>
                <w:highlight w:val="none"/>
              </w:rPr>
              <w:t>15个工作日付清余款。</w:t>
            </w:r>
          </w:p>
        </w:tc>
      </w:tr>
    </w:tbl>
    <w:p>
      <w:pPr>
        <w:rPr>
          <w:highlight w:val="none"/>
        </w:rPr>
      </w:pPr>
    </w:p>
    <w:p>
      <w:pPr>
        <w:rPr>
          <w:highlight w:val="none"/>
        </w:rPr>
      </w:pPr>
    </w:p>
    <w:p>
      <w:pPr>
        <w:pStyle w:val="2"/>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pStyle w:val="3"/>
        <w:rPr>
          <w:highlight w:val="none"/>
        </w:rPr>
      </w:pPr>
    </w:p>
    <w:p>
      <w:pPr>
        <w:rPr>
          <w:highlight w:val="none"/>
        </w:rPr>
      </w:pPr>
    </w:p>
    <w:p>
      <w:pPr>
        <w:pStyle w:val="3"/>
        <w:rPr>
          <w:highlight w:val="none"/>
        </w:rPr>
      </w:pPr>
    </w:p>
    <w:p>
      <w:pPr>
        <w:pStyle w:val="3"/>
        <w:rPr>
          <w:highlight w:val="none"/>
        </w:rPr>
      </w:pPr>
    </w:p>
    <w:p>
      <w:pPr>
        <w:spacing w:line="440" w:lineRule="exact"/>
        <w:jc w:val="center"/>
        <w:outlineLvl w:val="0"/>
        <w:rPr>
          <w:rFonts w:ascii="宋体" w:hAnsi="宋体" w:cs="宋体"/>
          <w:b/>
          <w:spacing w:val="-14"/>
          <w:sz w:val="32"/>
          <w:szCs w:val="32"/>
          <w:highlight w:val="none"/>
        </w:rPr>
      </w:pPr>
      <w:bookmarkStart w:id="192" w:name="_Toc2451"/>
      <w:bookmarkStart w:id="193" w:name="_Toc40254143"/>
      <w:r>
        <w:rPr>
          <w:rFonts w:hint="eastAsia" w:ascii="宋体" w:hAnsi="宋体" w:cs="宋体"/>
          <w:b/>
          <w:sz w:val="32"/>
          <w:szCs w:val="32"/>
          <w:highlight w:val="none"/>
        </w:rPr>
        <w:t>第六章</w:t>
      </w:r>
      <w:r>
        <w:rPr>
          <w:rFonts w:hint="eastAsia" w:ascii="宋体" w:hAnsi="宋体" w:cs="宋体"/>
          <w:b/>
          <w:bCs/>
          <w:sz w:val="32"/>
          <w:szCs w:val="32"/>
          <w:highlight w:val="none"/>
        </w:rPr>
        <w:t xml:space="preserve">  </w:t>
      </w:r>
      <w:r>
        <w:rPr>
          <w:rFonts w:hint="eastAsia" w:ascii="宋体" w:hAnsi="宋体" w:cs="宋体"/>
          <w:b/>
          <w:sz w:val="32"/>
          <w:szCs w:val="32"/>
          <w:highlight w:val="none"/>
        </w:rPr>
        <w:t xml:space="preserve"> 采购合同（参考文本）</w:t>
      </w:r>
      <w:bookmarkEnd w:id="192"/>
      <w:bookmarkEnd w:id="193"/>
    </w:p>
    <w:p>
      <w:pPr>
        <w:spacing w:line="420" w:lineRule="exact"/>
        <w:rPr>
          <w:rFonts w:ascii="宋体" w:hAnsi="宋体"/>
          <w:b/>
          <w:sz w:val="36"/>
          <w:highlight w:val="none"/>
        </w:rPr>
      </w:pPr>
    </w:p>
    <w:p>
      <w:pPr>
        <w:spacing w:line="420" w:lineRule="exact"/>
        <w:rPr>
          <w:rFonts w:ascii="宋体" w:hAnsi="宋体"/>
          <w:sz w:val="24"/>
          <w:highlight w:val="none"/>
        </w:rPr>
      </w:pPr>
      <w:r>
        <w:rPr>
          <w:rFonts w:hint="eastAsia" w:ascii="宋体" w:hAnsi="宋体"/>
          <w:b/>
          <w:bCs/>
          <w:sz w:val="36"/>
          <w:highlight w:val="none"/>
        </w:rPr>
        <w:t xml:space="preserve">              </w:t>
      </w:r>
      <w:r>
        <w:rPr>
          <w:rFonts w:hint="eastAsia" w:ascii="宋体" w:hAnsi="宋体"/>
          <w:sz w:val="24"/>
          <w:highlight w:val="none"/>
        </w:rPr>
        <w:t xml:space="preserve"> </w:t>
      </w:r>
      <w:r>
        <w:rPr>
          <w:rFonts w:hint="eastAsia" w:ascii="宋体" w:hAnsi="宋体"/>
          <w:highlight w:val="none"/>
        </w:rPr>
        <w:t xml:space="preserve">                                       </w:t>
      </w:r>
      <w:r>
        <w:rPr>
          <w:rFonts w:hint="eastAsia" w:ascii="宋体" w:hAnsi="宋体"/>
          <w:sz w:val="24"/>
          <w:highlight w:val="none"/>
        </w:rPr>
        <w:t>合同号：</w:t>
      </w:r>
    </w:p>
    <w:p>
      <w:pPr>
        <w:tabs>
          <w:tab w:val="center" w:pos="900"/>
          <w:tab w:val="center" w:pos="1080"/>
        </w:tabs>
        <w:spacing w:line="360" w:lineRule="auto"/>
        <w:ind w:firstLine="360" w:firstLineChars="150"/>
        <w:rPr>
          <w:rFonts w:ascii="宋体" w:hAnsi="宋体"/>
          <w:sz w:val="24"/>
          <w:highlight w:val="none"/>
        </w:rPr>
      </w:pPr>
      <w:r>
        <w:rPr>
          <w:rFonts w:hint="eastAsia" w:ascii="宋体" w:hAnsi="宋体"/>
          <w:sz w:val="24"/>
          <w:highlight w:val="none"/>
        </w:rPr>
        <w:t>甲方（采购人）：</w:t>
      </w:r>
      <w:r>
        <w:rPr>
          <w:rFonts w:hint="eastAsia" w:ascii="宋体" w:hAnsi="宋体" w:cs="宋体"/>
          <w:sz w:val="24"/>
          <w:highlight w:val="none"/>
        </w:rPr>
        <w:t xml:space="preserve">永安市自来水公司 </w:t>
      </w:r>
      <w:r>
        <w:rPr>
          <w:rFonts w:hint="eastAsia" w:ascii="宋体" w:hAnsi="宋体"/>
          <w:sz w:val="24"/>
          <w:highlight w:val="none"/>
        </w:rPr>
        <w:t xml:space="preserve">    签定地点：</w:t>
      </w:r>
    </w:p>
    <w:p>
      <w:pPr>
        <w:tabs>
          <w:tab w:val="center" w:pos="900"/>
          <w:tab w:val="center" w:pos="1080"/>
        </w:tabs>
        <w:spacing w:line="360" w:lineRule="auto"/>
        <w:ind w:firstLine="360" w:firstLineChars="150"/>
        <w:rPr>
          <w:rFonts w:ascii="宋体" w:hAnsi="宋体"/>
          <w:sz w:val="24"/>
          <w:highlight w:val="none"/>
        </w:rPr>
      </w:pPr>
      <w:r>
        <w:rPr>
          <w:rFonts w:hint="eastAsia" w:ascii="宋体" w:hAnsi="宋体"/>
          <w:sz w:val="24"/>
          <w:highlight w:val="none"/>
        </w:rPr>
        <w:t>乙方（中标人）：                                   签定日期：</w:t>
      </w:r>
    </w:p>
    <w:p>
      <w:pPr>
        <w:pStyle w:val="2"/>
        <w:rPr>
          <w:sz w:val="24"/>
          <w:highlight w:val="none"/>
        </w:rPr>
      </w:pPr>
      <w:r>
        <w:rPr>
          <w:rFonts w:hint="eastAsia"/>
          <w:highlight w:val="none"/>
        </w:rPr>
        <w:t xml:space="preserve"> </w:t>
      </w:r>
      <w:r>
        <w:rPr>
          <w:rFonts w:hint="eastAsia"/>
          <w:sz w:val="24"/>
          <w:highlight w:val="none"/>
        </w:rPr>
        <w:t xml:space="preserve">  丙方（采购人）：</w:t>
      </w:r>
      <w:r>
        <w:rPr>
          <w:rFonts w:ascii="宋体" w:hAnsi="宋体" w:cs="宋体"/>
          <w:kern w:val="0"/>
          <w:sz w:val="24"/>
          <w:highlight w:val="none"/>
        </w:rPr>
        <w:t>永安市新川水务有限公司</w:t>
      </w:r>
    </w:p>
    <w:p>
      <w:pPr>
        <w:tabs>
          <w:tab w:val="center" w:pos="900"/>
          <w:tab w:val="center" w:pos="1080"/>
        </w:tabs>
        <w:ind w:firstLine="360" w:firstLineChars="150"/>
        <w:rPr>
          <w:rFonts w:ascii="宋体" w:hAnsi="宋体"/>
          <w:sz w:val="24"/>
          <w:highlight w:val="none"/>
        </w:rPr>
      </w:pPr>
      <w:r>
        <w:rPr>
          <w:rFonts w:hint="eastAsia" w:ascii="宋体" w:hAnsi="宋体"/>
          <w:sz w:val="24"/>
          <w:highlight w:val="none"/>
        </w:rPr>
        <w:t xml:space="preserve"> 根据甲方委托福建中福天缘工程造价咨询有限公司对永安市石墨和石墨烯产业园园区水厂技术提升改造工程设备采购</w:t>
      </w:r>
      <w:r>
        <w:rPr>
          <w:rFonts w:hint="eastAsia" w:ascii="宋体" w:hAnsi="宋体" w:cs="宋体"/>
          <w:sz w:val="24"/>
          <w:highlight w:val="none"/>
        </w:rPr>
        <w:t>与安装</w:t>
      </w:r>
      <w:r>
        <w:rPr>
          <w:rFonts w:hint="eastAsia" w:ascii="宋体" w:hAnsi="宋体"/>
          <w:sz w:val="24"/>
          <w:highlight w:val="none"/>
        </w:rPr>
        <w:t>项目进行公开招标（招标编号：ZFTY2020-YA008#）的招标结果，乙方为中标人，现依照招标文件、投标文件及相关文件的内容，双方达成如下协议</w:t>
      </w:r>
    </w:p>
    <w:p>
      <w:pPr>
        <w:tabs>
          <w:tab w:val="left" w:pos="480"/>
          <w:tab w:val="center" w:pos="900"/>
          <w:tab w:val="center" w:pos="1080"/>
        </w:tabs>
        <w:spacing w:line="360" w:lineRule="auto"/>
        <w:ind w:left="120"/>
        <w:rPr>
          <w:rFonts w:ascii="宋体" w:hAnsi="宋体"/>
          <w:sz w:val="24"/>
          <w:highlight w:val="none"/>
        </w:rPr>
      </w:pPr>
      <w:r>
        <w:rPr>
          <w:rFonts w:hint="eastAsia" w:ascii="宋体" w:hAnsi="宋体"/>
          <w:sz w:val="24"/>
          <w:highlight w:val="none"/>
        </w:rPr>
        <w:t>1、合同标的和合同价格</w:t>
      </w: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582"/>
        <w:gridCol w:w="1236"/>
        <w:gridCol w:w="824"/>
        <w:gridCol w:w="824"/>
        <w:gridCol w:w="1030"/>
        <w:gridCol w:w="927"/>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127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r>
              <w:rPr>
                <w:rFonts w:hint="eastAsia" w:ascii="宋体" w:hAnsi="宋体"/>
                <w:sz w:val="24"/>
                <w:highlight w:val="none"/>
              </w:rPr>
              <w:t>产品名称</w:t>
            </w:r>
          </w:p>
        </w:tc>
        <w:tc>
          <w:tcPr>
            <w:tcW w:w="15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r>
              <w:rPr>
                <w:rFonts w:hint="eastAsia" w:ascii="宋体" w:hAnsi="宋体"/>
                <w:sz w:val="24"/>
                <w:highlight w:val="none"/>
              </w:rPr>
              <w:t>规格型号</w:t>
            </w:r>
          </w:p>
        </w:tc>
        <w:tc>
          <w:tcPr>
            <w:tcW w:w="123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r>
              <w:rPr>
                <w:rFonts w:hint="eastAsia" w:ascii="宋体" w:hAnsi="宋体"/>
                <w:sz w:val="24"/>
                <w:highlight w:val="none"/>
              </w:rPr>
              <w:t>生产厂家</w:t>
            </w:r>
          </w:p>
        </w:tc>
        <w:tc>
          <w:tcPr>
            <w:tcW w:w="824"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szCs w:val="21"/>
                <w:highlight w:val="none"/>
              </w:rPr>
            </w:pPr>
            <w:r>
              <w:rPr>
                <w:rFonts w:hint="eastAsia" w:ascii="宋体" w:hAnsi="宋体"/>
                <w:sz w:val="24"/>
                <w:highlight w:val="none"/>
              </w:rPr>
              <w:t>数量单价</w:t>
            </w:r>
          </w:p>
        </w:tc>
        <w:tc>
          <w:tcPr>
            <w:tcW w:w="824"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r>
              <w:rPr>
                <w:rFonts w:hint="eastAsia" w:ascii="宋体" w:hAnsi="宋体"/>
                <w:sz w:val="24"/>
                <w:highlight w:val="none"/>
              </w:rPr>
              <w:t>数 量</w:t>
            </w:r>
          </w:p>
        </w:tc>
        <w:tc>
          <w:tcPr>
            <w:tcW w:w="103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r>
              <w:rPr>
                <w:rFonts w:hint="eastAsia" w:ascii="宋体" w:hAnsi="宋体"/>
                <w:sz w:val="24"/>
                <w:highlight w:val="none"/>
              </w:rPr>
              <w:t>单 价</w:t>
            </w:r>
          </w:p>
        </w:tc>
        <w:tc>
          <w:tcPr>
            <w:tcW w:w="92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r>
              <w:rPr>
                <w:rFonts w:hint="eastAsia" w:ascii="宋体" w:hAnsi="宋体"/>
                <w:sz w:val="24"/>
                <w:highlight w:val="none"/>
              </w:rPr>
              <w:t>总 价</w:t>
            </w:r>
          </w:p>
        </w:tc>
        <w:tc>
          <w:tcPr>
            <w:tcW w:w="18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r>
              <w:rPr>
                <w:rFonts w:hint="eastAsia" w:ascii="宋体" w:hAnsi="宋体"/>
                <w:sz w:val="24"/>
                <w:highlight w:val="none"/>
              </w:rPr>
              <w:t xml:space="preserve"> 交货期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7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p>
            <w:pPr>
              <w:spacing w:line="440" w:lineRule="exact"/>
              <w:rPr>
                <w:rFonts w:ascii="宋体" w:hAnsi="宋体"/>
                <w:sz w:val="24"/>
                <w:highlight w:val="none"/>
              </w:rPr>
            </w:pPr>
          </w:p>
        </w:tc>
        <w:tc>
          <w:tcPr>
            <w:tcW w:w="15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123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824"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824"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92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18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7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p>
            <w:pPr>
              <w:spacing w:line="440" w:lineRule="exact"/>
              <w:rPr>
                <w:rFonts w:ascii="宋体" w:hAnsi="宋体"/>
                <w:sz w:val="24"/>
                <w:highlight w:val="none"/>
              </w:rPr>
            </w:pPr>
          </w:p>
        </w:tc>
        <w:tc>
          <w:tcPr>
            <w:tcW w:w="15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123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824"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824"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92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18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7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p>
            <w:pPr>
              <w:spacing w:line="440" w:lineRule="exact"/>
              <w:rPr>
                <w:rFonts w:ascii="宋体" w:hAnsi="宋体"/>
                <w:sz w:val="24"/>
                <w:highlight w:val="none"/>
              </w:rPr>
            </w:pPr>
          </w:p>
        </w:tc>
        <w:tc>
          <w:tcPr>
            <w:tcW w:w="15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123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824"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824"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92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18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7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p>
            <w:pPr>
              <w:spacing w:line="440" w:lineRule="exact"/>
              <w:rPr>
                <w:rFonts w:ascii="宋体" w:hAnsi="宋体"/>
                <w:sz w:val="24"/>
                <w:highlight w:val="none"/>
              </w:rPr>
            </w:pPr>
          </w:p>
        </w:tc>
        <w:tc>
          <w:tcPr>
            <w:tcW w:w="1582"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1236"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824"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824"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927"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c>
          <w:tcPr>
            <w:tcW w:w="184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40" w:type="dxa"/>
            <w:gridSpan w:val="8"/>
            <w:tcBorders>
              <w:top w:val="single" w:color="auto" w:sz="4" w:space="0"/>
              <w:left w:val="single" w:color="auto" w:sz="4" w:space="0"/>
              <w:bottom w:val="single" w:color="auto" w:sz="4" w:space="0"/>
              <w:right w:val="single" w:color="auto" w:sz="4" w:space="0"/>
            </w:tcBorders>
          </w:tcPr>
          <w:p>
            <w:pPr>
              <w:spacing w:line="440" w:lineRule="exact"/>
              <w:rPr>
                <w:rFonts w:ascii="宋体" w:hAnsi="宋体"/>
                <w:sz w:val="24"/>
                <w:highlight w:val="none"/>
              </w:rPr>
            </w:pPr>
            <w:r>
              <w:rPr>
                <w:rFonts w:hint="eastAsia" w:ascii="宋体" w:hAnsi="宋体"/>
                <w:sz w:val="24"/>
                <w:highlight w:val="none"/>
              </w:rPr>
              <w:t>合同总金额（大写）（合同总金额包含备件、专用工具、安装、调试、检验、技术培训及技术资料和运输保险等费用）：人民币</w:t>
            </w:r>
            <w:r>
              <w:rPr>
                <w:rFonts w:hint="eastAsia" w:ascii="宋体" w:hAnsi="宋体"/>
                <w:sz w:val="24"/>
                <w:highlight w:val="none"/>
                <w:u w:val="single"/>
              </w:rPr>
              <w:t xml:space="preserve">                  </w:t>
            </w:r>
            <w:r>
              <w:rPr>
                <w:rFonts w:hint="eastAsia" w:ascii="宋体" w:hAnsi="宋体"/>
                <w:sz w:val="24"/>
                <w:highlight w:val="none"/>
              </w:rPr>
              <w:t>（¥</w:t>
            </w:r>
            <w:r>
              <w:rPr>
                <w:rFonts w:hint="eastAsia" w:ascii="宋体" w:hAnsi="宋体"/>
                <w:sz w:val="24"/>
                <w:highlight w:val="none"/>
                <w:u w:val="single"/>
              </w:rPr>
              <w:t xml:space="preserve">                </w:t>
            </w:r>
            <w:r>
              <w:rPr>
                <w:rFonts w:hint="eastAsia" w:ascii="宋体" w:hAnsi="宋体"/>
                <w:sz w:val="24"/>
                <w:highlight w:val="none"/>
              </w:rPr>
              <w:t>）</w:t>
            </w:r>
          </w:p>
        </w:tc>
      </w:tr>
    </w:tbl>
    <w:p>
      <w:pPr>
        <w:spacing w:line="440" w:lineRule="exact"/>
        <w:rPr>
          <w:rFonts w:ascii="宋体" w:hAnsi="宋体"/>
          <w:sz w:val="24"/>
          <w:highlight w:val="none"/>
        </w:rPr>
      </w:pPr>
      <w:r>
        <w:rPr>
          <w:rFonts w:hint="eastAsia" w:ascii="宋体" w:hAnsi="宋体"/>
          <w:sz w:val="24"/>
          <w:highlight w:val="none"/>
        </w:rPr>
        <w:t>2、交货方式和交货地点</w:t>
      </w:r>
    </w:p>
    <w:p>
      <w:pPr>
        <w:spacing w:line="440" w:lineRule="exact"/>
        <w:ind w:firstLine="480" w:firstLineChars="200"/>
        <w:rPr>
          <w:rFonts w:ascii="宋体" w:hAnsi="宋体"/>
          <w:sz w:val="24"/>
          <w:highlight w:val="none"/>
          <w:u w:val="single"/>
        </w:rPr>
      </w:pPr>
      <w:r>
        <w:rPr>
          <w:rFonts w:hint="eastAsia" w:ascii="宋体" w:hAnsi="宋体"/>
          <w:sz w:val="24"/>
          <w:highlight w:val="none"/>
        </w:rPr>
        <w:t xml:space="preserve">2.1交货方式： </w:t>
      </w:r>
      <w:r>
        <w:rPr>
          <w:rFonts w:hint="eastAsia" w:ascii="宋体" w:hAnsi="宋体"/>
          <w:sz w:val="24"/>
          <w:highlight w:val="none"/>
          <w:u w:val="single"/>
        </w:rPr>
        <w:t xml:space="preserve">                   </w:t>
      </w:r>
    </w:p>
    <w:p>
      <w:pPr>
        <w:spacing w:line="440" w:lineRule="exact"/>
        <w:ind w:firstLine="480" w:firstLineChars="200"/>
        <w:rPr>
          <w:rFonts w:ascii="宋体" w:hAnsi="宋体"/>
          <w:sz w:val="24"/>
          <w:highlight w:val="none"/>
        </w:rPr>
      </w:pPr>
      <w:r>
        <w:rPr>
          <w:rFonts w:hint="eastAsia" w:ascii="宋体" w:hAnsi="宋体"/>
          <w:sz w:val="24"/>
          <w:highlight w:val="none"/>
        </w:rPr>
        <w:t>2.2交货地点：</w:t>
      </w:r>
      <w:r>
        <w:rPr>
          <w:rFonts w:hint="eastAsia" w:ascii="宋体" w:hAnsi="宋体"/>
          <w:sz w:val="24"/>
          <w:highlight w:val="none"/>
          <w:u w:val="single"/>
        </w:rPr>
        <w:t xml:space="preserve">                     </w:t>
      </w:r>
    </w:p>
    <w:p>
      <w:pPr>
        <w:spacing w:line="440" w:lineRule="exact"/>
        <w:rPr>
          <w:rFonts w:ascii="宋体" w:hAnsi="宋体"/>
          <w:sz w:val="24"/>
          <w:highlight w:val="none"/>
        </w:rPr>
      </w:pPr>
      <w:r>
        <w:rPr>
          <w:rFonts w:hint="eastAsia" w:ascii="宋体" w:hAnsi="宋体"/>
          <w:sz w:val="24"/>
          <w:highlight w:val="none"/>
        </w:rPr>
        <w:t>3、供货清单</w:t>
      </w:r>
    </w:p>
    <w:p>
      <w:pPr>
        <w:tabs>
          <w:tab w:val="center" w:pos="900"/>
          <w:tab w:val="center" w:pos="1080"/>
        </w:tabs>
        <w:spacing w:line="360" w:lineRule="auto"/>
        <w:ind w:left="480"/>
        <w:rPr>
          <w:rFonts w:ascii="宋体" w:hAnsi="宋体"/>
          <w:sz w:val="24"/>
          <w:highlight w:val="none"/>
        </w:rPr>
      </w:pPr>
      <w:r>
        <w:rPr>
          <w:rFonts w:hint="eastAsia" w:ascii="宋体" w:hAnsi="宋体"/>
          <w:sz w:val="24"/>
          <w:highlight w:val="none"/>
        </w:rPr>
        <w:t xml:space="preserve">  3.1供货清单：包括产品、备品备件、专用工具的名称及数量。（采购人对包装及运输有特别要求的，应作具体约定。）</w:t>
      </w:r>
    </w:p>
    <w:p>
      <w:pPr>
        <w:spacing w:line="440" w:lineRule="exact"/>
        <w:rPr>
          <w:rFonts w:ascii="宋体" w:hAnsi="宋体"/>
          <w:sz w:val="24"/>
          <w:highlight w:val="none"/>
        </w:rPr>
      </w:pPr>
      <w:r>
        <w:rPr>
          <w:rFonts w:hint="eastAsia" w:ascii="宋体" w:hAnsi="宋体"/>
          <w:sz w:val="24"/>
          <w:highlight w:val="none"/>
        </w:rPr>
        <w:t>4、付款方式与条件</w:t>
      </w:r>
    </w:p>
    <w:p>
      <w:pPr>
        <w:spacing w:line="440" w:lineRule="exact"/>
        <w:rPr>
          <w:rFonts w:ascii="宋体" w:hAnsi="宋体"/>
          <w:sz w:val="24"/>
          <w:highlight w:val="none"/>
        </w:rPr>
      </w:pPr>
      <w:r>
        <w:rPr>
          <w:rFonts w:hint="eastAsia" w:ascii="宋体" w:hAnsi="宋体"/>
          <w:sz w:val="24"/>
          <w:highlight w:val="none"/>
        </w:rPr>
        <w:t xml:space="preserve">   4.1付款条件</w:t>
      </w:r>
    </w:p>
    <w:p>
      <w:pPr>
        <w:spacing w:line="440" w:lineRule="exact"/>
        <w:rPr>
          <w:rFonts w:ascii="宋体" w:hAnsi="宋体"/>
          <w:sz w:val="24"/>
          <w:highlight w:val="none"/>
        </w:rPr>
      </w:pPr>
      <w:r>
        <w:rPr>
          <w:rFonts w:hint="eastAsia" w:ascii="宋体" w:hAnsi="宋体"/>
          <w:sz w:val="24"/>
          <w:highlight w:val="none"/>
        </w:rPr>
        <w:t xml:space="preserve">    现场交货条件下，乙方要求付款应提交下列单证和文件。</w:t>
      </w:r>
    </w:p>
    <w:p>
      <w:pPr>
        <w:spacing w:line="440" w:lineRule="exact"/>
        <w:ind w:firstLine="240" w:firstLineChars="100"/>
        <w:rPr>
          <w:rFonts w:ascii="宋体" w:hAnsi="宋体"/>
          <w:sz w:val="24"/>
          <w:highlight w:val="none"/>
        </w:rPr>
      </w:pPr>
      <w:r>
        <w:rPr>
          <w:rFonts w:hint="eastAsia" w:ascii="宋体" w:hAnsi="宋体"/>
          <w:sz w:val="24"/>
          <w:highlight w:val="none"/>
        </w:rPr>
        <w:t>a. 首付款前乙方开具合同等额的正式发票。</w:t>
      </w:r>
    </w:p>
    <w:p>
      <w:pPr>
        <w:spacing w:line="440" w:lineRule="exact"/>
        <w:rPr>
          <w:rFonts w:ascii="宋体" w:hAnsi="宋体"/>
          <w:sz w:val="24"/>
          <w:highlight w:val="none"/>
        </w:rPr>
      </w:pPr>
      <w:r>
        <w:rPr>
          <w:rFonts w:hint="eastAsia" w:ascii="宋体" w:hAnsi="宋体"/>
          <w:sz w:val="24"/>
          <w:highlight w:val="none"/>
        </w:rPr>
        <w:t xml:space="preserve">  b.制造厂家出具的货物质量合格证书。</w:t>
      </w:r>
    </w:p>
    <w:p>
      <w:pPr>
        <w:spacing w:line="440" w:lineRule="exact"/>
        <w:rPr>
          <w:rFonts w:ascii="宋体" w:hAnsi="宋体"/>
          <w:sz w:val="24"/>
          <w:highlight w:val="none"/>
        </w:rPr>
      </w:pPr>
      <w:r>
        <w:rPr>
          <w:rFonts w:hint="eastAsia" w:ascii="宋体" w:hAnsi="宋体"/>
          <w:sz w:val="24"/>
          <w:highlight w:val="none"/>
        </w:rPr>
        <w:t xml:space="preserve">  c. 甲方</w:t>
      </w:r>
      <w:r>
        <w:rPr>
          <w:rFonts w:hint="eastAsia" w:ascii="宋体" w:hAnsi="宋体"/>
          <w:sz w:val="24"/>
          <w:highlight w:val="none"/>
        </w:rPr>
        <w:t>、丙方</w:t>
      </w:r>
      <w:r>
        <w:rPr>
          <w:rFonts w:hint="eastAsia" w:ascii="宋体" w:hAnsi="宋体"/>
          <w:sz w:val="24"/>
          <w:highlight w:val="none"/>
        </w:rPr>
        <w:t>已收讫货物的验收凭证。</w:t>
      </w:r>
    </w:p>
    <w:p>
      <w:pPr>
        <w:spacing w:line="440" w:lineRule="exact"/>
        <w:rPr>
          <w:rFonts w:ascii="宋体" w:hAnsi="宋体"/>
          <w:sz w:val="24"/>
          <w:highlight w:val="none"/>
        </w:rPr>
      </w:pPr>
      <w:r>
        <w:rPr>
          <w:rFonts w:hint="eastAsia" w:ascii="宋体" w:hAnsi="宋体"/>
          <w:sz w:val="24"/>
          <w:highlight w:val="none"/>
        </w:rPr>
        <w:t xml:space="preserve">  d. 甲方</w:t>
      </w:r>
      <w:r>
        <w:rPr>
          <w:rFonts w:hint="eastAsia" w:ascii="宋体" w:hAnsi="宋体"/>
          <w:sz w:val="24"/>
          <w:highlight w:val="none"/>
        </w:rPr>
        <w:t>、丙方</w:t>
      </w:r>
      <w:r>
        <w:rPr>
          <w:rFonts w:hint="eastAsia" w:ascii="宋体" w:hAnsi="宋体"/>
          <w:sz w:val="24"/>
          <w:highlight w:val="none"/>
        </w:rPr>
        <w:t>签发的验收合格文件。</w:t>
      </w:r>
    </w:p>
    <w:p>
      <w:pPr>
        <w:spacing w:line="336" w:lineRule="auto"/>
        <w:ind w:firstLine="360" w:firstLineChars="150"/>
        <w:rPr>
          <w:sz w:val="24"/>
          <w:highlight w:val="none"/>
        </w:rPr>
      </w:pPr>
      <w:r>
        <w:rPr>
          <w:rFonts w:hint="eastAsia" w:ascii="宋体" w:hAnsi="宋体"/>
          <w:sz w:val="24"/>
          <w:highlight w:val="none"/>
        </w:rPr>
        <w:t>4.2经最终验收合格后一个月内</w:t>
      </w:r>
      <w:r>
        <w:rPr>
          <w:rFonts w:hint="eastAsia" w:ascii="宋体" w:hAnsi="宋体"/>
          <w:sz w:val="24"/>
          <w:highlight w:val="none"/>
        </w:rPr>
        <w:t>由丙方</w:t>
      </w:r>
      <w:r>
        <w:rPr>
          <w:rFonts w:hint="eastAsia" w:ascii="宋体" w:hAnsi="宋体"/>
          <w:sz w:val="24"/>
          <w:highlight w:val="none"/>
        </w:rPr>
        <w:t>支付合同金额的</w:t>
      </w:r>
      <w:r>
        <w:rPr>
          <w:rFonts w:hint="eastAsia" w:ascii="宋体" w:hAnsi="宋体"/>
          <w:sz w:val="24"/>
          <w:highlight w:val="none"/>
          <w:u w:val="single"/>
        </w:rPr>
        <w:t xml:space="preserve">       </w:t>
      </w:r>
      <w:r>
        <w:rPr>
          <w:rFonts w:hint="eastAsia" w:ascii="宋体" w:hAnsi="宋体"/>
          <w:sz w:val="24"/>
          <w:highlight w:val="none"/>
        </w:rPr>
        <w:t>，余款</w:t>
      </w:r>
      <w:r>
        <w:rPr>
          <w:rFonts w:hint="eastAsia" w:ascii="宋体" w:hAnsi="宋体"/>
          <w:sz w:val="24"/>
          <w:highlight w:val="none"/>
          <w:u w:val="single"/>
        </w:rPr>
        <w:t xml:space="preserve">        </w:t>
      </w:r>
      <w:r>
        <w:rPr>
          <w:rFonts w:hint="eastAsia" w:ascii="宋体" w:hAnsi="宋体"/>
          <w:sz w:val="24"/>
          <w:highlight w:val="none"/>
        </w:rPr>
        <w:t>作为质保金在服务期满并经最终验收合格后且无质量问题时15个工作日内一次性付清。</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5、质量要求和技术标准</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 xml:space="preserve">   质量条款可细分为产品质量、包装质量、技术资料质量等内容。</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 xml:space="preserve">     （质量要求和技术标准应按招标文件要求填列。）</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6、安装调试、技术服务、人员培训及技术资料</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 xml:space="preserve">   （安装调试、技术服务、人员培训及技术资料应按招标文件要求填列。）</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7、验收</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 xml:space="preserve">       （货物验收标准和方法应按招标文件要求填列。）验收结果经</w:t>
      </w:r>
      <w:r>
        <w:rPr>
          <w:rFonts w:hint="eastAsia" w:ascii="宋体" w:hAnsi="宋体"/>
          <w:sz w:val="24"/>
          <w:highlight w:val="none"/>
        </w:rPr>
        <w:t>三方</w:t>
      </w:r>
      <w:r>
        <w:rPr>
          <w:rFonts w:hint="eastAsia" w:ascii="宋体" w:hAnsi="宋体"/>
          <w:sz w:val="24"/>
          <w:highlight w:val="none"/>
        </w:rPr>
        <w:t>确认后，</w:t>
      </w:r>
      <w:r>
        <w:rPr>
          <w:rFonts w:hint="eastAsia" w:ascii="宋体" w:hAnsi="宋体"/>
          <w:sz w:val="24"/>
          <w:highlight w:val="none"/>
        </w:rPr>
        <w:t>三方</w:t>
      </w:r>
      <w:r>
        <w:rPr>
          <w:rFonts w:hint="eastAsia" w:ascii="宋体" w:hAnsi="宋体"/>
          <w:sz w:val="24"/>
          <w:highlight w:val="none"/>
        </w:rPr>
        <w:t>代表必须按规定的验收交接单上的项目对照本合同填好验收结果并签名盖章。</w:t>
      </w:r>
    </w:p>
    <w:p>
      <w:pPr>
        <w:tabs>
          <w:tab w:val="center" w:pos="900"/>
          <w:tab w:val="center" w:pos="1080"/>
        </w:tabs>
        <w:spacing w:line="360" w:lineRule="auto"/>
        <w:ind w:firstLine="435"/>
        <w:rPr>
          <w:rFonts w:ascii="宋体" w:hAnsi="宋体"/>
          <w:sz w:val="24"/>
          <w:highlight w:val="none"/>
        </w:rPr>
      </w:pPr>
      <w:r>
        <w:rPr>
          <w:rFonts w:hint="eastAsia" w:ascii="宋体" w:hAnsi="宋体"/>
          <w:sz w:val="24"/>
          <w:highlight w:val="none"/>
        </w:rPr>
        <w:t>验收可细分为到货时的外在质量的验收，投产前的质量验收，采购人可在招标文件中细化规定。</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8、质量保证</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 xml:space="preserve">    货物质保期要求均为货物经最终验收合格后</w:t>
      </w:r>
      <w:r>
        <w:rPr>
          <w:rFonts w:hint="eastAsia" w:ascii="宋体" w:hAnsi="宋体"/>
          <w:sz w:val="24"/>
          <w:highlight w:val="none"/>
          <w:u w:val="single"/>
        </w:rPr>
        <w:t xml:space="preserve">      </w:t>
      </w:r>
      <w:r>
        <w:rPr>
          <w:rFonts w:hint="eastAsia" w:ascii="宋体" w:hAnsi="宋体"/>
          <w:sz w:val="24"/>
          <w:highlight w:val="none"/>
        </w:rPr>
        <w:t>个月，在质量保证期内产品使用中发生故障时，乙方在接到甲方故障通知后</w:t>
      </w:r>
      <w:r>
        <w:rPr>
          <w:rFonts w:hint="eastAsia" w:ascii="宋体" w:hAnsi="宋体"/>
          <w:sz w:val="24"/>
          <w:highlight w:val="none"/>
          <w:u w:val="single"/>
        </w:rPr>
        <w:t xml:space="preserve">     </w:t>
      </w:r>
      <w:r>
        <w:rPr>
          <w:rFonts w:hint="eastAsia" w:ascii="宋体" w:hAnsi="宋体"/>
          <w:sz w:val="24"/>
          <w:highlight w:val="none"/>
        </w:rPr>
        <w:t>小时内应委派专业技术人员到现场免费提供咨询、维修和更换零部件等服务，并及时填写维修报告（包括故障原因、处理情况及甲方意见等）报甲方备案，若</w:t>
      </w:r>
      <w:r>
        <w:rPr>
          <w:rFonts w:hint="eastAsia" w:ascii="宋体" w:hAnsi="宋体"/>
          <w:sz w:val="24"/>
          <w:highlight w:val="none"/>
          <w:u w:val="single"/>
        </w:rPr>
        <w:t xml:space="preserve">      </w:t>
      </w:r>
      <w:r>
        <w:rPr>
          <w:rFonts w:hint="eastAsia" w:ascii="宋体" w:hAnsi="宋体"/>
          <w:sz w:val="24"/>
          <w:highlight w:val="none"/>
        </w:rPr>
        <w:t>小时内无法排除故障，则应先提供同档次备用产品供甲方使用。其中发生一切费用由乙方承担。质量保证期内乙方有责任对产品进行不定期的巡查检修。投标人视自身能力在投标文件中提供更优、更合理的维修服务承诺。</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9、知识产权：</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 xml:space="preserve">   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10、违约责任</w:t>
      </w:r>
    </w:p>
    <w:p>
      <w:pPr>
        <w:tabs>
          <w:tab w:val="center" w:pos="900"/>
          <w:tab w:val="center" w:pos="1080"/>
        </w:tabs>
        <w:spacing w:line="360" w:lineRule="auto"/>
        <w:ind w:firstLine="435"/>
        <w:rPr>
          <w:rFonts w:ascii="宋体" w:hAnsi="宋体"/>
          <w:sz w:val="24"/>
          <w:highlight w:val="none"/>
        </w:rPr>
      </w:pPr>
      <w:r>
        <w:rPr>
          <w:rFonts w:hint="eastAsia" w:ascii="宋体" w:hAnsi="宋体"/>
          <w:sz w:val="24"/>
          <w:highlight w:val="none"/>
        </w:rPr>
        <w:t>10.1未按期交货的违约责任</w:t>
      </w:r>
    </w:p>
    <w:p>
      <w:pPr>
        <w:tabs>
          <w:tab w:val="center" w:pos="900"/>
          <w:tab w:val="center" w:pos="1080"/>
        </w:tabs>
        <w:spacing w:line="360" w:lineRule="auto"/>
        <w:ind w:firstLine="435"/>
        <w:rPr>
          <w:rFonts w:ascii="宋体" w:hAnsi="宋体"/>
          <w:sz w:val="24"/>
          <w:highlight w:val="none"/>
        </w:rPr>
      </w:pPr>
      <w:r>
        <w:rPr>
          <w:rFonts w:hint="eastAsia" w:ascii="宋体" w:hAnsi="宋体"/>
          <w:sz w:val="24"/>
          <w:highlight w:val="none"/>
        </w:rPr>
        <w:t xml:space="preserve"> 10.1.1如果乙方未能按合同规定的时间按时足额交货的（不可抗力除外），在乙方书面同意支付延期交货违约金的条件下，甲方有权选择同意延长交货期还是不予延长交货期，甲方同意延长交货期的，延期交货的时间由双方另行确定。延期交货违约金的支付甲方有权从未付的合同货款中扣除。延期交货违约金比率为每迟交</w:t>
      </w:r>
      <w:r>
        <w:rPr>
          <w:rFonts w:hint="eastAsia" w:ascii="宋体" w:hAnsi="宋体"/>
          <w:sz w:val="24"/>
          <w:highlight w:val="none"/>
          <w:u w:val="single"/>
        </w:rPr>
        <w:t xml:space="preserve">  </w:t>
      </w:r>
      <w:r>
        <w:rPr>
          <w:rFonts w:hint="eastAsia" w:ascii="宋体" w:hAnsi="宋体"/>
          <w:sz w:val="24"/>
          <w:highlight w:val="none"/>
        </w:rPr>
        <w:t>天。按迟交货物金额的</w:t>
      </w:r>
      <w:r>
        <w:rPr>
          <w:rFonts w:hint="eastAsia" w:ascii="宋体" w:hAnsi="宋体"/>
          <w:sz w:val="24"/>
          <w:highlight w:val="none"/>
          <w:u w:val="single"/>
        </w:rPr>
        <w:t xml:space="preserve">    </w:t>
      </w:r>
      <w:r>
        <w:rPr>
          <w:rFonts w:hint="eastAsia" w:ascii="宋体" w:hAnsi="宋体"/>
          <w:sz w:val="24"/>
          <w:highlight w:val="none"/>
        </w:rPr>
        <w:t>%。但是，延期交货违约金的支付总额不得超过迟交货物部分合同金额的</w:t>
      </w:r>
      <w:r>
        <w:rPr>
          <w:rFonts w:hint="eastAsia" w:ascii="宋体" w:hAnsi="宋体"/>
          <w:sz w:val="24"/>
          <w:highlight w:val="none"/>
          <w:u w:val="single"/>
        </w:rPr>
        <w:t xml:space="preserve">     </w:t>
      </w:r>
      <w:r>
        <w:rPr>
          <w:rFonts w:hint="eastAsia" w:ascii="宋体" w:hAnsi="宋体"/>
          <w:sz w:val="24"/>
          <w:highlight w:val="none"/>
        </w:rPr>
        <w:t>%。</w:t>
      </w:r>
    </w:p>
    <w:p>
      <w:pPr>
        <w:tabs>
          <w:tab w:val="center" w:pos="900"/>
          <w:tab w:val="center" w:pos="1080"/>
        </w:tabs>
        <w:spacing w:line="360" w:lineRule="auto"/>
        <w:ind w:firstLine="435"/>
        <w:rPr>
          <w:rFonts w:ascii="宋体" w:hAnsi="宋体"/>
          <w:sz w:val="24"/>
          <w:highlight w:val="none"/>
        </w:rPr>
      </w:pPr>
      <w:r>
        <w:rPr>
          <w:rFonts w:hint="eastAsia" w:ascii="宋体" w:hAnsi="宋体"/>
          <w:sz w:val="24"/>
          <w:highlight w:val="none"/>
        </w:rPr>
        <w:t xml:space="preserve"> 10.1.2如果乙方未能按合同规定的时间或双方另行确定的延期交货期按时足额交货的（不可抗力除外），每逾期1天，乙方应按迟交货物金额的</w:t>
      </w:r>
      <w:r>
        <w:rPr>
          <w:rFonts w:hint="eastAsia" w:ascii="宋体" w:hAnsi="宋体"/>
          <w:sz w:val="24"/>
          <w:highlight w:val="none"/>
          <w:u w:val="single"/>
        </w:rPr>
        <w:t xml:space="preserve">     </w:t>
      </w:r>
      <w:r>
        <w:rPr>
          <w:rFonts w:hint="eastAsia" w:ascii="宋体" w:hAnsi="宋体"/>
          <w:sz w:val="24"/>
          <w:highlight w:val="none"/>
        </w:rPr>
        <w:t>%向甲方支付逾期交货的违约金。逾期交货违约金的支付</w:t>
      </w:r>
      <w:r>
        <w:rPr>
          <w:rFonts w:hint="eastAsia" w:ascii="宋体" w:hAnsi="宋体"/>
          <w:sz w:val="24"/>
          <w:highlight w:val="none"/>
        </w:rPr>
        <w:t>丙方</w:t>
      </w:r>
      <w:r>
        <w:rPr>
          <w:rFonts w:hint="eastAsia" w:ascii="宋体" w:hAnsi="宋体"/>
          <w:sz w:val="24"/>
          <w:highlight w:val="none"/>
        </w:rPr>
        <w:t>有权从未付的合同货款中予以扣除。若乙方逾期交货达30天（含30天）以上的</w:t>
      </w:r>
      <w:r>
        <w:rPr>
          <w:rFonts w:hint="eastAsia" w:ascii="宋体" w:hAnsi="宋体"/>
          <w:sz w:val="24"/>
          <w:highlight w:val="none"/>
        </w:rPr>
        <w:t>，甲方、丙方</w:t>
      </w:r>
      <w:r>
        <w:rPr>
          <w:rFonts w:hint="eastAsia" w:ascii="宋体" w:hAnsi="宋体"/>
          <w:sz w:val="24"/>
          <w:highlight w:val="none"/>
        </w:rPr>
        <w:t>有权单方解除本合同，乙方仍应按上述约定支付延期交货违约金。若因此给</w:t>
      </w:r>
      <w:r>
        <w:rPr>
          <w:rFonts w:hint="eastAsia" w:ascii="宋体" w:hAnsi="宋体"/>
          <w:sz w:val="24"/>
          <w:highlight w:val="none"/>
        </w:rPr>
        <w:t>甲方、丙方</w:t>
      </w:r>
      <w:r>
        <w:rPr>
          <w:rFonts w:hint="eastAsia" w:ascii="宋体" w:hAnsi="宋体"/>
          <w:sz w:val="24"/>
          <w:highlight w:val="none"/>
        </w:rPr>
        <w:t>造成损失的，还应赔偿</w:t>
      </w:r>
      <w:r>
        <w:rPr>
          <w:rFonts w:hint="eastAsia" w:ascii="宋体" w:hAnsi="宋体"/>
          <w:sz w:val="24"/>
          <w:highlight w:val="none"/>
        </w:rPr>
        <w:t>甲方、丙方</w:t>
      </w:r>
      <w:r>
        <w:rPr>
          <w:rFonts w:hint="eastAsia" w:ascii="宋体" w:hAnsi="宋体"/>
          <w:sz w:val="24"/>
          <w:highlight w:val="none"/>
        </w:rPr>
        <w:t>所受的损失。</w:t>
      </w:r>
    </w:p>
    <w:p>
      <w:pPr>
        <w:tabs>
          <w:tab w:val="center" w:pos="900"/>
          <w:tab w:val="center" w:pos="1080"/>
        </w:tabs>
        <w:spacing w:line="360" w:lineRule="auto"/>
        <w:ind w:firstLine="435"/>
        <w:rPr>
          <w:rFonts w:ascii="宋体" w:hAnsi="宋体"/>
          <w:sz w:val="24"/>
          <w:highlight w:val="none"/>
        </w:rPr>
      </w:pPr>
      <w:r>
        <w:rPr>
          <w:rFonts w:hint="eastAsia" w:ascii="宋体" w:hAnsi="宋体"/>
          <w:sz w:val="24"/>
          <w:highlight w:val="none"/>
        </w:rPr>
        <w:t>10.2若乙方不能交货的（逾期15个工作日视为不能交货，因不可抗拒的因素除外）或交货不合格从而影响甲方正常使用的，乙方应向甲方偿付不能交货部分货款的</w:t>
      </w:r>
      <w:r>
        <w:rPr>
          <w:rFonts w:hint="eastAsia" w:ascii="宋体" w:hAnsi="宋体"/>
          <w:sz w:val="24"/>
          <w:highlight w:val="none"/>
          <w:u w:val="single"/>
        </w:rPr>
        <w:t xml:space="preserve">     </w:t>
      </w:r>
      <w:r>
        <w:rPr>
          <w:rFonts w:hint="eastAsia" w:ascii="宋体" w:hAnsi="宋体"/>
          <w:sz w:val="24"/>
          <w:highlight w:val="none"/>
        </w:rPr>
        <w:t>%的违约金。违约金不足以补偿损失的，甲方有权要求乙方赔偿损失。</w:t>
      </w:r>
    </w:p>
    <w:p>
      <w:pPr>
        <w:tabs>
          <w:tab w:val="center" w:pos="900"/>
          <w:tab w:val="center" w:pos="1080"/>
        </w:tabs>
        <w:spacing w:line="360" w:lineRule="auto"/>
        <w:ind w:firstLine="435"/>
        <w:rPr>
          <w:rFonts w:ascii="宋体" w:hAnsi="宋体"/>
          <w:sz w:val="24"/>
          <w:highlight w:val="none"/>
        </w:rPr>
      </w:pPr>
      <w:r>
        <w:rPr>
          <w:rFonts w:hint="eastAsia" w:ascii="宋体" w:hAnsi="宋体"/>
          <w:sz w:val="24"/>
          <w:highlight w:val="none"/>
        </w:rPr>
        <w:t>10.3如果乙方未能按照合同约定的时间提供服务的，每逾期</w:t>
      </w:r>
      <w:r>
        <w:rPr>
          <w:rFonts w:hint="eastAsia" w:ascii="宋体" w:hAnsi="宋体"/>
          <w:sz w:val="24"/>
          <w:highlight w:val="none"/>
          <w:u w:val="single"/>
        </w:rPr>
        <w:t xml:space="preserve">     </w:t>
      </w:r>
      <w:r>
        <w:rPr>
          <w:rFonts w:hint="eastAsia" w:ascii="宋体" w:hAnsi="宋体"/>
          <w:sz w:val="24"/>
          <w:highlight w:val="none"/>
        </w:rPr>
        <w:t>天的，乙方应向甲方支付</w:t>
      </w:r>
      <w:r>
        <w:rPr>
          <w:rFonts w:hint="eastAsia" w:ascii="宋体" w:hAnsi="宋体"/>
          <w:sz w:val="24"/>
          <w:highlight w:val="none"/>
          <w:u w:val="single"/>
        </w:rPr>
        <w:t xml:space="preserve">      </w:t>
      </w:r>
      <w:r>
        <w:rPr>
          <w:rFonts w:hint="eastAsia" w:ascii="宋体" w:hAnsi="宋体"/>
          <w:sz w:val="24"/>
          <w:highlight w:val="none"/>
        </w:rPr>
        <w:t>元违约金，若因此给甲方造成损失的，乙方还应赔偿甲方所受的损失。</w:t>
      </w:r>
    </w:p>
    <w:p>
      <w:pPr>
        <w:tabs>
          <w:tab w:val="center" w:pos="900"/>
          <w:tab w:val="center" w:pos="1080"/>
        </w:tabs>
        <w:spacing w:line="360" w:lineRule="auto"/>
        <w:ind w:left="670" w:leftChars="205" w:hanging="240" w:hangingChars="100"/>
        <w:rPr>
          <w:rFonts w:ascii="宋体" w:hAnsi="宋体"/>
          <w:sz w:val="24"/>
          <w:highlight w:val="none"/>
          <w:u w:val="single"/>
        </w:rPr>
      </w:pPr>
      <w:r>
        <w:rPr>
          <w:rFonts w:hint="eastAsia" w:ascii="宋体" w:hAnsi="宋体"/>
          <w:sz w:val="24"/>
          <w:highlight w:val="none"/>
        </w:rPr>
        <w:t>10.4甲方逾期付款的（有正当拒付理由的除外）应按照逾期金额的每日</w:t>
      </w:r>
      <w:r>
        <w:rPr>
          <w:rFonts w:hint="eastAsia" w:ascii="宋体" w:hAnsi="宋体"/>
          <w:sz w:val="24"/>
          <w:highlight w:val="none"/>
          <w:u w:val="single"/>
        </w:rPr>
        <w:t xml:space="preserve">     </w:t>
      </w:r>
    </w:p>
    <w:p>
      <w:pPr>
        <w:tabs>
          <w:tab w:val="center" w:pos="900"/>
          <w:tab w:val="center" w:pos="1080"/>
        </w:tabs>
        <w:spacing w:line="360" w:lineRule="auto"/>
        <w:ind w:left="670" w:leftChars="205" w:hanging="240" w:hangingChars="100"/>
        <w:rPr>
          <w:rFonts w:ascii="宋体" w:hAnsi="宋体"/>
          <w:sz w:val="24"/>
          <w:highlight w:val="none"/>
        </w:rPr>
      </w:pPr>
      <w:r>
        <w:rPr>
          <w:rFonts w:hint="eastAsia" w:ascii="宋体" w:hAnsi="宋体"/>
          <w:sz w:val="24"/>
          <w:highlight w:val="none"/>
        </w:rPr>
        <w:t>%支付逾付款违约金。</w:t>
      </w:r>
    </w:p>
    <w:p>
      <w:pPr>
        <w:tabs>
          <w:tab w:val="center" w:pos="900"/>
          <w:tab w:val="center" w:pos="1080"/>
        </w:tabs>
        <w:spacing w:line="360" w:lineRule="auto"/>
        <w:rPr>
          <w:rFonts w:ascii="宋体" w:hAnsi="宋体"/>
          <w:sz w:val="24"/>
          <w:highlight w:val="none"/>
        </w:rPr>
      </w:pPr>
      <w:r>
        <w:rPr>
          <w:rFonts w:hint="eastAsia" w:ascii="宋体" w:hAnsi="宋体"/>
          <w:sz w:val="24"/>
          <w:highlight w:val="none"/>
        </w:rPr>
        <w:t>11、违约终止合同</w:t>
      </w:r>
    </w:p>
    <w:p>
      <w:pPr>
        <w:tabs>
          <w:tab w:val="center" w:pos="900"/>
          <w:tab w:val="center" w:pos="1080"/>
        </w:tabs>
        <w:spacing w:line="360" w:lineRule="auto"/>
        <w:ind w:firstLine="435"/>
        <w:rPr>
          <w:rFonts w:ascii="宋体" w:hAnsi="宋体"/>
          <w:sz w:val="24"/>
          <w:highlight w:val="none"/>
        </w:rPr>
      </w:pPr>
      <w:r>
        <w:rPr>
          <w:rFonts w:hint="eastAsia" w:ascii="宋体" w:hAnsi="宋体"/>
          <w:sz w:val="24"/>
          <w:highlight w:val="none"/>
        </w:rPr>
        <w:t>11.1 在补救违约而采取的任何其他措施未能实现的情况下，即在甲方发出的违约通知后30天内（或经甲方书面确认的更长时间内）仍未纠正其下述任何一种违约行为，甲方有权向乙方发出书面违约通知，甲方终止本合同。</w:t>
      </w:r>
    </w:p>
    <w:p>
      <w:pPr>
        <w:spacing w:line="440" w:lineRule="exact"/>
        <w:ind w:firstLine="360" w:firstLineChars="150"/>
        <w:rPr>
          <w:rFonts w:ascii="宋体" w:hAnsi="宋体"/>
          <w:sz w:val="24"/>
          <w:highlight w:val="none"/>
        </w:rPr>
      </w:pPr>
      <w:r>
        <w:rPr>
          <w:rFonts w:hint="eastAsia" w:ascii="宋体" w:hAnsi="宋体"/>
          <w:sz w:val="24"/>
          <w:highlight w:val="none"/>
        </w:rPr>
        <w:t>11.1.1如果乙方未能在合同规定的期限内或 双方另行确定的延期交货时间内交付合同约定的货物。</w:t>
      </w:r>
    </w:p>
    <w:p>
      <w:pPr>
        <w:spacing w:line="440" w:lineRule="exact"/>
        <w:rPr>
          <w:rFonts w:ascii="宋体" w:hAnsi="宋体"/>
          <w:sz w:val="24"/>
          <w:highlight w:val="none"/>
        </w:rPr>
      </w:pPr>
      <w:r>
        <w:rPr>
          <w:rFonts w:hint="eastAsia" w:ascii="宋体" w:hAnsi="宋体"/>
          <w:sz w:val="24"/>
          <w:highlight w:val="none"/>
        </w:rPr>
        <w:t xml:space="preserve">    11.1.2乙方未能履行合同项下的任何其它义务。</w:t>
      </w:r>
    </w:p>
    <w:p>
      <w:pPr>
        <w:spacing w:line="440" w:lineRule="exact"/>
        <w:ind w:firstLine="120" w:firstLineChars="50"/>
        <w:rPr>
          <w:rFonts w:ascii="宋体" w:hAnsi="宋体"/>
          <w:sz w:val="24"/>
          <w:highlight w:val="none"/>
        </w:rPr>
      </w:pPr>
      <w:r>
        <w:rPr>
          <w:rFonts w:hint="eastAsia" w:ascii="宋体" w:hAnsi="宋体"/>
          <w:sz w:val="24"/>
          <w:highlight w:val="none"/>
        </w:rPr>
        <w:t>12、不可抗力</w:t>
      </w:r>
    </w:p>
    <w:p>
      <w:pPr>
        <w:spacing w:line="440" w:lineRule="exact"/>
        <w:ind w:firstLine="480" w:firstLineChars="200"/>
        <w:rPr>
          <w:rFonts w:ascii="宋体" w:hAnsi="宋体"/>
          <w:sz w:val="24"/>
          <w:highlight w:val="none"/>
        </w:rPr>
      </w:pPr>
      <w:r>
        <w:rPr>
          <w:rFonts w:hint="eastAsia" w:ascii="宋体" w:hAnsi="宋体"/>
          <w:sz w:val="24"/>
          <w:highlight w:val="none"/>
        </w:rPr>
        <w:t>因不可抗力造成违约的，遭受不可抗力一方应及时向对方通报不能履行或不能完全履行的理由，并在随后取得有关主管机关证明后的15日内向另一方提供不可抗力发生以及持续期间的充分证据。基本于以上行为，允许遭受不可抗力一方延期履行、部分履行或者不履行合同，并根据情况可部分或全部免于承担违约责任。</w:t>
      </w:r>
    </w:p>
    <w:p>
      <w:pPr>
        <w:spacing w:line="440" w:lineRule="exact"/>
        <w:ind w:firstLine="600" w:firstLineChars="250"/>
        <w:rPr>
          <w:rFonts w:ascii="宋体" w:hAnsi="宋体"/>
          <w:sz w:val="24"/>
          <w:highlight w:val="none"/>
        </w:rPr>
      </w:pPr>
      <w:r>
        <w:rPr>
          <w:rFonts w:hint="eastAsia" w:ascii="宋体" w:hAnsi="宋体"/>
          <w:sz w:val="24"/>
          <w:highlight w:val="none"/>
        </w:rPr>
        <w:t>本合同中的不可抗力指不能预见、不能避免并不能克服的客观情况。包括但不限于：自然灾害如地震、台风、洪水、火灾；政府行为、法律规定或其适用的变化或者其他任何无法预见、避免或者控制的事件。</w:t>
      </w:r>
    </w:p>
    <w:p>
      <w:pPr>
        <w:spacing w:line="440" w:lineRule="exact"/>
        <w:ind w:firstLine="120" w:firstLineChars="50"/>
        <w:rPr>
          <w:rFonts w:ascii="宋体" w:hAnsi="宋体"/>
          <w:sz w:val="24"/>
          <w:highlight w:val="none"/>
        </w:rPr>
      </w:pPr>
      <w:r>
        <w:rPr>
          <w:rFonts w:hint="eastAsia" w:ascii="宋体" w:hAnsi="宋体"/>
          <w:sz w:val="24"/>
          <w:highlight w:val="none"/>
        </w:rPr>
        <w:t>13、合同纠纷的处理方式：因本合同或与本合同有关的一切事项发生争议，由双方友好协商解决。协商不成的，任何一方均可选择以下方式解决：</w:t>
      </w:r>
    </w:p>
    <w:p>
      <w:pPr>
        <w:spacing w:line="440" w:lineRule="exact"/>
        <w:rPr>
          <w:rFonts w:ascii="宋体" w:hAnsi="宋体"/>
          <w:sz w:val="24"/>
          <w:highlight w:val="none"/>
        </w:rPr>
      </w:pPr>
      <w:r>
        <w:rPr>
          <w:rFonts w:hint="eastAsia" w:ascii="宋体" w:hAnsi="宋体"/>
          <w:sz w:val="24"/>
          <w:highlight w:val="none"/>
        </w:rPr>
        <w:t xml:space="preserve">（1）向 </w:t>
      </w:r>
      <w:r>
        <w:rPr>
          <w:rFonts w:hint="eastAsia" w:ascii="宋体" w:hAnsi="宋体"/>
          <w:sz w:val="24"/>
          <w:highlight w:val="none"/>
          <w:u w:val="single"/>
        </w:rPr>
        <w:t xml:space="preserve">      （甲方所在地）</w:t>
      </w:r>
      <w:r>
        <w:rPr>
          <w:rFonts w:hint="eastAsia" w:ascii="宋体" w:hAnsi="宋体"/>
          <w:sz w:val="24"/>
          <w:highlight w:val="none"/>
        </w:rPr>
        <w:t>仲裁委员会申请仲裁；</w:t>
      </w:r>
    </w:p>
    <w:p>
      <w:pPr>
        <w:spacing w:line="440" w:lineRule="exact"/>
        <w:rPr>
          <w:rFonts w:ascii="宋体" w:hAnsi="宋体"/>
          <w:sz w:val="24"/>
          <w:highlight w:val="none"/>
        </w:rPr>
      </w:pPr>
      <w:r>
        <w:rPr>
          <w:rFonts w:hint="eastAsia" w:ascii="宋体" w:hAnsi="宋体"/>
          <w:sz w:val="24"/>
          <w:highlight w:val="none"/>
        </w:rPr>
        <w:t>（2）向有管辖权的人民法院提起诉讼。</w:t>
      </w:r>
    </w:p>
    <w:p>
      <w:pPr>
        <w:spacing w:line="440" w:lineRule="exact"/>
        <w:ind w:firstLine="120" w:firstLineChars="50"/>
        <w:rPr>
          <w:rFonts w:ascii="宋体" w:hAnsi="宋体"/>
          <w:sz w:val="24"/>
          <w:highlight w:val="none"/>
        </w:rPr>
      </w:pPr>
      <w:r>
        <w:rPr>
          <w:rFonts w:hint="eastAsia" w:ascii="宋体" w:hAnsi="宋体"/>
          <w:sz w:val="24"/>
          <w:highlight w:val="none"/>
        </w:rPr>
        <w:t>14、其他约定</w:t>
      </w:r>
    </w:p>
    <w:p>
      <w:pPr>
        <w:spacing w:line="440" w:lineRule="exact"/>
        <w:ind w:firstLine="600" w:firstLineChars="250"/>
        <w:rPr>
          <w:rFonts w:ascii="宋体" w:hAnsi="宋体"/>
          <w:sz w:val="24"/>
          <w:highlight w:val="none"/>
        </w:rPr>
      </w:pPr>
      <w:r>
        <w:rPr>
          <w:rFonts w:hint="eastAsia" w:ascii="宋体" w:hAnsi="宋体"/>
          <w:sz w:val="24"/>
          <w:highlight w:val="none"/>
        </w:rPr>
        <w:t>14.1本采购项目的招标文件、中标人的投标文件以及相关的澄清确认函（如果有的话）均为本合同不可分割的一部分，与本合同具有同等法律效力。</w:t>
      </w:r>
    </w:p>
    <w:p>
      <w:pPr>
        <w:spacing w:line="440" w:lineRule="exact"/>
        <w:rPr>
          <w:rFonts w:ascii="宋体" w:hAnsi="宋体"/>
          <w:sz w:val="24"/>
          <w:highlight w:val="none"/>
        </w:rPr>
      </w:pPr>
      <w:r>
        <w:rPr>
          <w:rFonts w:hint="eastAsia" w:ascii="宋体" w:hAnsi="宋体"/>
          <w:sz w:val="24"/>
          <w:highlight w:val="none"/>
        </w:rPr>
        <w:t xml:space="preserve">     14.2本合同未尽事宜，双方另行补充。</w:t>
      </w:r>
    </w:p>
    <w:p>
      <w:pPr>
        <w:spacing w:line="440" w:lineRule="exact"/>
        <w:rPr>
          <w:rFonts w:ascii="宋体" w:hAnsi="宋体"/>
          <w:b/>
          <w:sz w:val="24"/>
          <w:highlight w:val="none"/>
        </w:rPr>
      </w:pPr>
      <w:r>
        <w:rPr>
          <w:rFonts w:hint="eastAsia" w:ascii="宋体" w:hAnsi="宋体"/>
          <w:sz w:val="24"/>
          <w:highlight w:val="none"/>
        </w:rPr>
        <w:t xml:space="preserve">     14.3</w:t>
      </w:r>
      <w:r>
        <w:rPr>
          <w:rFonts w:hint="eastAsia" w:ascii="宋体" w:hAnsi="宋体"/>
          <w:b/>
          <w:sz w:val="24"/>
          <w:highlight w:val="none"/>
        </w:rPr>
        <w:t>本合同一式四份，经双方授权代表签字并盖章后生效。甲方、乙方、</w:t>
      </w:r>
      <w:r>
        <w:rPr>
          <w:rFonts w:hint="eastAsia" w:ascii="宋体" w:hAnsi="宋体"/>
          <w:sz w:val="24"/>
          <w:highlight w:val="none"/>
        </w:rPr>
        <w:t>丙方</w:t>
      </w:r>
      <w:r>
        <w:rPr>
          <w:rFonts w:hint="eastAsia" w:ascii="宋体" w:hAnsi="宋体"/>
          <w:b/>
          <w:sz w:val="24"/>
          <w:highlight w:val="none"/>
        </w:rPr>
        <w:t>各执一份，送招标代理机构备案一份，具有同等效力。</w:t>
      </w:r>
    </w:p>
    <w:p>
      <w:pPr>
        <w:spacing w:line="440" w:lineRule="exact"/>
        <w:rPr>
          <w:rFonts w:ascii="宋体" w:hAnsi="宋体"/>
          <w:b/>
          <w:sz w:val="24"/>
          <w:highlight w:val="none"/>
        </w:rPr>
      </w:pPr>
    </w:p>
    <w:p>
      <w:pPr>
        <w:spacing w:line="440" w:lineRule="exact"/>
        <w:ind w:firstLine="360" w:firstLineChars="150"/>
        <w:rPr>
          <w:rFonts w:ascii="宋体" w:hAnsi="宋体"/>
          <w:sz w:val="24"/>
          <w:highlight w:val="none"/>
        </w:rPr>
      </w:pPr>
      <w:r>
        <w:rPr>
          <w:rFonts w:hint="eastAsia" w:ascii="宋体" w:hAnsi="宋体"/>
          <w:sz w:val="24"/>
          <w:highlight w:val="none"/>
        </w:rPr>
        <w:t>甲    方：                            乙    方：</w:t>
      </w:r>
    </w:p>
    <w:p>
      <w:pPr>
        <w:spacing w:line="440" w:lineRule="exact"/>
        <w:ind w:firstLine="360" w:firstLineChars="150"/>
        <w:rPr>
          <w:rFonts w:ascii="宋体" w:hAnsi="宋体"/>
          <w:sz w:val="24"/>
          <w:highlight w:val="none"/>
        </w:rPr>
      </w:pPr>
      <w:r>
        <w:rPr>
          <w:rFonts w:hint="eastAsia" w:ascii="宋体" w:hAnsi="宋体"/>
          <w:sz w:val="24"/>
          <w:highlight w:val="none"/>
        </w:rPr>
        <w:t>单位地址：                            单位地址：</w:t>
      </w:r>
    </w:p>
    <w:p>
      <w:pPr>
        <w:spacing w:line="440" w:lineRule="exact"/>
        <w:ind w:firstLine="360" w:firstLineChars="150"/>
        <w:rPr>
          <w:rFonts w:ascii="宋体" w:hAnsi="宋体"/>
          <w:sz w:val="24"/>
          <w:highlight w:val="none"/>
        </w:rPr>
      </w:pPr>
      <w:r>
        <w:rPr>
          <w:rFonts w:hint="eastAsia" w:ascii="宋体" w:hAnsi="宋体"/>
          <w:sz w:val="24"/>
          <w:highlight w:val="none"/>
        </w:rPr>
        <w:t>法定代表人：                          法定代表人：</w:t>
      </w:r>
    </w:p>
    <w:p>
      <w:pPr>
        <w:spacing w:line="440" w:lineRule="exact"/>
        <w:ind w:firstLine="360" w:firstLineChars="150"/>
        <w:rPr>
          <w:rFonts w:ascii="宋体" w:hAnsi="宋体"/>
          <w:sz w:val="24"/>
          <w:highlight w:val="none"/>
        </w:rPr>
      </w:pPr>
      <w:r>
        <w:rPr>
          <w:rFonts w:hint="eastAsia" w:ascii="宋体" w:hAnsi="宋体"/>
          <w:sz w:val="24"/>
          <w:highlight w:val="none"/>
        </w:rPr>
        <w:t>委托代理人：                          委托代理人：</w:t>
      </w:r>
    </w:p>
    <w:p>
      <w:pPr>
        <w:spacing w:line="440" w:lineRule="exact"/>
        <w:ind w:firstLine="360" w:firstLineChars="150"/>
        <w:rPr>
          <w:rFonts w:ascii="宋体" w:hAnsi="宋体"/>
          <w:sz w:val="24"/>
          <w:highlight w:val="none"/>
        </w:rPr>
      </w:pPr>
      <w:r>
        <w:rPr>
          <w:rFonts w:hint="eastAsia" w:ascii="宋体" w:hAnsi="宋体"/>
          <w:sz w:val="24"/>
          <w:highlight w:val="none"/>
        </w:rPr>
        <w:t>电    话：                            电    话：</w:t>
      </w:r>
    </w:p>
    <w:p>
      <w:pPr>
        <w:spacing w:line="440" w:lineRule="exact"/>
        <w:ind w:firstLine="360" w:firstLineChars="150"/>
        <w:rPr>
          <w:rFonts w:ascii="宋体" w:hAnsi="宋体"/>
          <w:sz w:val="24"/>
          <w:highlight w:val="none"/>
        </w:rPr>
      </w:pPr>
      <w:r>
        <w:rPr>
          <w:rFonts w:hint="eastAsia" w:ascii="宋体" w:hAnsi="宋体"/>
          <w:sz w:val="24"/>
          <w:highlight w:val="none"/>
        </w:rPr>
        <w:t>开户银行：                            开户银行：</w:t>
      </w:r>
    </w:p>
    <w:p>
      <w:pPr>
        <w:spacing w:line="440" w:lineRule="exact"/>
        <w:ind w:firstLine="360" w:firstLineChars="150"/>
        <w:rPr>
          <w:rFonts w:ascii="宋体" w:hAnsi="宋体"/>
          <w:sz w:val="24"/>
          <w:highlight w:val="none"/>
        </w:rPr>
      </w:pPr>
      <w:r>
        <w:rPr>
          <w:rFonts w:hint="eastAsia" w:ascii="宋体" w:hAnsi="宋体"/>
          <w:sz w:val="24"/>
          <w:highlight w:val="none"/>
        </w:rPr>
        <w:t>账    号：                            账    号：</w:t>
      </w:r>
    </w:p>
    <w:p>
      <w:pPr>
        <w:spacing w:line="440" w:lineRule="exact"/>
        <w:rPr>
          <w:rFonts w:ascii="宋体" w:hAnsi="宋体"/>
          <w:highlight w:val="none"/>
        </w:rPr>
      </w:pPr>
    </w:p>
    <w:p>
      <w:pPr>
        <w:ind w:right="-693" w:rightChars="-330"/>
        <w:rPr>
          <w:rFonts w:ascii="宋体" w:hAnsi="宋体"/>
          <w:sz w:val="24"/>
          <w:highlight w:val="none"/>
        </w:rPr>
      </w:pPr>
    </w:p>
    <w:p>
      <w:pPr>
        <w:ind w:right="-693" w:rightChars="-330"/>
        <w:rPr>
          <w:rFonts w:ascii="宋体" w:hAnsi="宋体"/>
          <w:sz w:val="24"/>
          <w:highlight w:val="none"/>
        </w:rPr>
      </w:pPr>
    </w:p>
    <w:p>
      <w:pPr>
        <w:ind w:right="-693" w:rightChars="-330"/>
        <w:rPr>
          <w:rFonts w:ascii="宋体" w:hAnsi="宋体"/>
          <w:sz w:val="24"/>
          <w:highlight w:val="none"/>
        </w:rPr>
      </w:pPr>
    </w:p>
    <w:p>
      <w:pPr>
        <w:spacing w:line="440" w:lineRule="exact"/>
        <w:ind w:left="1" w:right="-693" w:rightChars="-330" w:firstLine="360" w:firstLineChars="150"/>
        <w:rPr>
          <w:rFonts w:ascii="宋体" w:hAnsi="宋体"/>
          <w:sz w:val="24"/>
          <w:highlight w:val="none"/>
        </w:rPr>
      </w:pPr>
      <w:r>
        <w:rPr>
          <w:rFonts w:hint="eastAsia" w:ascii="宋体" w:hAnsi="宋体"/>
          <w:sz w:val="24"/>
          <w:highlight w:val="none"/>
        </w:rPr>
        <w:t>丙方：</w:t>
      </w:r>
    </w:p>
    <w:p>
      <w:pPr>
        <w:spacing w:line="440" w:lineRule="exact"/>
        <w:ind w:firstLine="360" w:firstLineChars="150"/>
        <w:rPr>
          <w:rFonts w:ascii="宋体" w:hAnsi="宋体"/>
          <w:sz w:val="24"/>
          <w:highlight w:val="none"/>
        </w:rPr>
      </w:pPr>
      <w:r>
        <w:rPr>
          <w:rFonts w:hint="eastAsia" w:ascii="宋体" w:hAnsi="宋体"/>
          <w:sz w:val="24"/>
          <w:highlight w:val="none"/>
        </w:rPr>
        <w:t>单位地址：</w:t>
      </w:r>
    </w:p>
    <w:p>
      <w:pPr>
        <w:spacing w:line="440" w:lineRule="exact"/>
        <w:ind w:firstLine="360" w:firstLineChars="150"/>
        <w:rPr>
          <w:rFonts w:ascii="宋体" w:hAnsi="宋体"/>
          <w:sz w:val="24"/>
          <w:highlight w:val="none"/>
        </w:rPr>
      </w:pPr>
      <w:r>
        <w:rPr>
          <w:rFonts w:hint="eastAsia" w:ascii="宋体" w:hAnsi="宋体"/>
          <w:sz w:val="24"/>
          <w:highlight w:val="none"/>
        </w:rPr>
        <w:t xml:space="preserve">法定代表人：                         </w:t>
      </w:r>
    </w:p>
    <w:p>
      <w:pPr>
        <w:spacing w:line="440" w:lineRule="exact"/>
        <w:ind w:firstLine="360" w:firstLineChars="150"/>
        <w:rPr>
          <w:rFonts w:ascii="宋体" w:hAnsi="宋体"/>
          <w:sz w:val="24"/>
          <w:highlight w:val="none"/>
        </w:rPr>
      </w:pPr>
      <w:r>
        <w:rPr>
          <w:rFonts w:hint="eastAsia" w:ascii="宋体" w:hAnsi="宋体"/>
          <w:sz w:val="24"/>
          <w:highlight w:val="none"/>
        </w:rPr>
        <w:t xml:space="preserve">委托代理人：                         </w:t>
      </w:r>
    </w:p>
    <w:p>
      <w:pPr>
        <w:spacing w:line="440" w:lineRule="exact"/>
        <w:ind w:firstLine="360" w:firstLineChars="150"/>
        <w:rPr>
          <w:rFonts w:ascii="宋体" w:hAnsi="宋体"/>
          <w:sz w:val="24"/>
          <w:highlight w:val="none"/>
        </w:rPr>
      </w:pPr>
      <w:r>
        <w:rPr>
          <w:rFonts w:hint="eastAsia" w:ascii="宋体" w:hAnsi="宋体"/>
          <w:sz w:val="24"/>
          <w:highlight w:val="none"/>
        </w:rPr>
        <w:t xml:space="preserve">电    话：                           </w:t>
      </w:r>
    </w:p>
    <w:p>
      <w:pPr>
        <w:spacing w:line="440" w:lineRule="exact"/>
        <w:ind w:firstLine="360" w:firstLineChars="150"/>
        <w:rPr>
          <w:rFonts w:ascii="宋体" w:hAnsi="宋体"/>
          <w:sz w:val="24"/>
          <w:highlight w:val="none"/>
        </w:rPr>
      </w:pPr>
      <w:r>
        <w:rPr>
          <w:rFonts w:hint="eastAsia" w:ascii="宋体" w:hAnsi="宋体"/>
          <w:sz w:val="24"/>
          <w:highlight w:val="none"/>
        </w:rPr>
        <w:t xml:space="preserve">开户银行：                            </w:t>
      </w:r>
    </w:p>
    <w:p>
      <w:pPr>
        <w:spacing w:line="440" w:lineRule="exact"/>
        <w:ind w:firstLine="360" w:firstLineChars="150"/>
        <w:rPr>
          <w:rFonts w:ascii="宋体" w:hAnsi="宋体"/>
          <w:sz w:val="24"/>
          <w:highlight w:val="none"/>
        </w:rPr>
      </w:pPr>
      <w:r>
        <w:rPr>
          <w:rFonts w:hint="eastAsia" w:ascii="宋体" w:hAnsi="宋体"/>
          <w:sz w:val="24"/>
          <w:highlight w:val="none"/>
        </w:rPr>
        <w:t xml:space="preserve">账    号：                            </w:t>
      </w:r>
    </w:p>
    <w:p>
      <w:pPr>
        <w:spacing w:line="440" w:lineRule="exact"/>
        <w:ind w:left="1" w:right="-693" w:rightChars="-330" w:firstLine="360" w:firstLineChars="150"/>
        <w:rPr>
          <w:rFonts w:ascii="宋体" w:hAnsi="宋体"/>
          <w:sz w:val="24"/>
          <w:highlight w:val="none"/>
        </w:rPr>
      </w:pPr>
    </w:p>
    <w:p>
      <w:pPr>
        <w:spacing w:line="440" w:lineRule="exact"/>
        <w:ind w:right="-693" w:rightChars="-330"/>
        <w:rPr>
          <w:rFonts w:ascii="宋体" w:hAnsi="宋体"/>
          <w:sz w:val="24"/>
          <w:highlight w:val="none"/>
        </w:rPr>
      </w:pPr>
    </w:p>
    <w:p>
      <w:pPr>
        <w:pStyle w:val="6"/>
        <w:snapToGrid w:val="0"/>
        <w:spacing w:line="420" w:lineRule="atLeast"/>
        <w:ind w:firstLine="0"/>
        <w:rPr>
          <w:rFonts w:ascii="宋体" w:hAnsi="宋体" w:cs="宋体"/>
          <w:b/>
          <w:bCs/>
          <w:sz w:val="36"/>
          <w:highlight w:val="none"/>
        </w:rPr>
      </w:pPr>
    </w:p>
    <w:p>
      <w:pPr>
        <w:pStyle w:val="6"/>
        <w:snapToGrid w:val="0"/>
        <w:spacing w:line="420" w:lineRule="atLeast"/>
        <w:ind w:firstLine="0"/>
        <w:rPr>
          <w:rFonts w:ascii="宋体" w:hAnsi="宋体" w:cs="宋体"/>
          <w:b/>
          <w:bCs/>
          <w:sz w:val="36"/>
          <w:highlight w:val="none"/>
        </w:rPr>
      </w:pPr>
    </w:p>
    <w:p>
      <w:pPr>
        <w:pStyle w:val="6"/>
        <w:snapToGrid w:val="0"/>
        <w:spacing w:line="420" w:lineRule="atLeast"/>
        <w:ind w:firstLine="0"/>
        <w:rPr>
          <w:rFonts w:ascii="宋体" w:hAnsi="宋体" w:cs="宋体"/>
          <w:b/>
          <w:bCs/>
          <w:sz w:val="36"/>
          <w:highlight w:val="none"/>
        </w:rPr>
      </w:pPr>
    </w:p>
    <w:p>
      <w:pPr>
        <w:pStyle w:val="6"/>
        <w:snapToGrid w:val="0"/>
        <w:spacing w:line="420" w:lineRule="atLeast"/>
        <w:ind w:firstLine="0"/>
        <w:rPr>
          <w:rFonts w:ascii="宋体" w:hAnsi="宋体" w:cs="宋体"/>
          <w:b/>
          <w:bCs/>
          <w:sz w:val="36"/>
          <w:highlight w:val="none"/>
        </w:rPr>
      </w:pPr>
    </w:p>
    <w:p>
      <w:pPr>
        <w:pStyle w:val="6"/>
        <w:snapToGrid w:val="0"/>
        <w:spacing w:line="420" w:lineRule="atLeast"/>
        <w:ind w:firstLine="0"/>
        <w:rPr>
          <w:rFonts w:ascii="宋体" w:hAnsi="宋体" w:cs="宋体"/>
          <w:b/>
          <w:bCs/>
          <w:sz w:val="36"/>
          <w:highlight w:val="none"/>
        </w:rPr>
      </w:pPr>
    </w:p>
    <w:p>
      <w:pPr>
        <w:pStyle w:val="6"/>
        <w:snapToGrid w:val="0"/>
        <w:spacing w:line="420" w:lineRule="atLeast"/>
        <w:ind w:firstLine="0"/>
        <w:rPr>
          <w:rFonts w:ascii="宋体" w:hAnsi="宋体" w:cs="宋体"/>
          <w:b/>
          <w:bCs/>
          <w:sz w:val="36"/>
          <w:highlight w:val="none"/>
        </w:rPr>
      </w:pPr>
    </w:p>
    <w:p>
      <w:pPr>
        <w:pStyle w:val="6"/>
        <w:snapToGrid w:val="0"/>
        <w:spacing w:line="420" w:lineRule="atLeast"/>
        <w:ind w:firstLine="0"/>
        <w:rPr>
          <w:rFonts w:ascii="宋体" w:hAnsi="宋体" w:cs="宋体"/>
          <w:b/>
          <w:bCs/>
          <w:sz w:val="36"/>
          <w:highlight w:val="none"/>
        </w:rPr>
      </w:pPr>
    </w:p>
    <w:p>
      <w:pPr>
        <w:pStyle w:val="6"/>
        <w:snapToGrid w:val="0"/>
        <w:spacing w:line="420" w:lineRule="atLeast"/>
        <w:ind w:firstLine="0"/>
        <w:jc w:val="center"/>
        <w:outlineLvl w:val="0"/>
        <w:rPr>
          <w:rFonts w:ascii="宋体" w:hAnsi="宋体" w:cs="宋体"/>
          <w:b/>
          <w:bCs/>
          <w:sz w:val="44"/>
          <w:szCs w:val="44"/>
          <w:highlight w:val="none"/>
        </w:rPr>
      </w:pPr>
      <w:bookmarkStart w:id="194" w:name="_Toc14495"/>
      <w:bookmarkStart w:id="195" w:name="_Toc40254144"/>
      <w:r>
        <w:rPr>
          <w:rFonts w:hint="eastAsia" w:ascii="宋体" w:hAnsi="宋体" w:cs="宋体"/>
          <w:b/>
          <w:bCs/>
          <w:sz w:val="36"/>
          <w:highlight w:val="none"/>
        </w:rPr>
        <w:t xml:space="preserve">第七章    </w:t>
      </w:r>
      <w:r>
        <w:rPr>
          <w:rFonts w:hint="eastAsia" w:ascii="宋体" w:hAnsi="宋体" w:cs="宋体"/>
          <w:b/>
          <w:bCs/>
          <w:sz w:val="44"/>
          <w:szCs w:val="44"/>
          <w:highlight w:val="none"/>
        </w:rPr>
        <w:t>投标文件格式</w:t>
      </w:r>
      <w:bookmarkEnd w:id="194"/>
      <w:bookmarkEnd w:id="195"/>
    </w:p>
    <w:p>
      <w:pPr>
        <w:pStyle w:val="46"/>
        <w:rPr>
          <w:rFonts w:hAnsi="宋体" w:cs="宋体"/>
          <w:color w:val="auto"/>
          <w:highlight w:val="none"/>
        </w:rPr>
      </w:pPr>
    </w:p>
    <w:p>
      <w:pPr>
        <w:jc w:val="center"/>
        <w:rPr>
          <w:rFonts w:ascii="宋体" w:hAnsi="宋体" w:cs="宋体"/>
          <w:b/>
          <w:sz w:val="72"/>
          <w:highlight w:val="none"/>
        </w:rPr>
      </w:pPr>
    </w:p>
    <w:p>
      <w:pPr>
        <w:jc w:val="center"/>
        <w:outlineLvl w:val="0"/>
        <w:rPr>
          <w:rFonts w:ascii="宋体" w:hAnsi="宋体" w:cs="宋体"/>
          <w:b/>
          <w:sz w:val="72"/>
          <w:highlight w:val="none"/>
        </w:rPr>
      </w:pPr>
      <w:bookmarkStart w:id="196" w:name="_Toc16326"/>
      <w:r>
        <w:rPr>
          <w:rFonts w:hint="eastAsia" w:ascii="宋体" w:hAnsi="宋体" w:cs="宋体"/>
          <w:b/>
          <w:sz w:val="72"/>
          <w:highlight w:val="none"/>
        </w:rPr>
        <w:t>采购项目</w:t>
      </w:r>
      <w:bookmarkEnd w:id="196"/>
    </w:p>
    <w:p>
      <w:pPr>
        <w:jc w:val="center"/>
        <w:outlineLvl w:val="0"/>
        <w:rPr>
          <w:rFonts w:ascii="宋体" w:hAnsi="宋体" w:cs="宋体"/>
          <w:b/>
          <w:sz w:val="72"/>
          <w:szCs w:val="72"/>
          <w:highlight w:val="none"/>
        </w:rPr>
      </w:pPr>
      <w:bookmarkStart w:id="197" w:name="_Toc11549"/>
      <w:r>
        <w:rPr>
          <w:rFonts w:hint="eastAsia" w:ascii="宋体" w:hAnsi="宋体" w:cs="宋体"/>
          <w:b/>
          <w:sz w:val="72"/>
          <w:szCs w:val="72"/>
          <w:highlight w:val="none"/>
        </w:rPr>
        <w:t>投标文件</w:t>
      </w:r>
      <w:bookmarkEnd w:id="197"/>
    </w:p>
    <w:p>
      <w:pPr>
        <w:pStyle w:val="2"/>
        <w:rPr>
          <w:rFonts w:ascii="宋体" w:hAnsi="宋体" w:cs="宋体"/>
          <w:highlight w:val="none"/>
        </w:rPr>
      </w:pPr>
    </w:p>
    <w:p>
      <w:pPr>
        <w:jc w:val="center"/>
        <w:outlineLvl w:val="0"/>
        <w:rPr>
          <w:rFonts w:ascii="宋体" w:hAnsi="宋体" w:cs="宋体"/>
          <w:b/>
          <w:sz w:val="36"/>
          <w:highlight w:val="none"/>
        </w:rPr>
      </w:pPr>
      <w:bookmarkStart w:id="198" w:name="_Toc23974"/>
      <w:r>
        <w:rPr>
          <w:rFonts w:hint="eastAsia" w:ascii="宋体" w:hAnsi="宋体" w:cs="宋体"/>
          <w:b/>
          <w:sz w:val="36"/>
          <w:highlight w:val="none"/>
        </w:rPr>
        <w:t>（正本或副本）</w:t>
      </w:r>
      <w:bookmarkEnd w:id="198"/>
    </w:p>
    <w:p>
      <w:pPr>
        <w:jc w:val="center"/>
        <w:rPr>
          <w:rFonts w:ascii="宋体" w:hAnsi="宋体" w:cs="宋体"/>
          <w:b/>
          <w:sz w:val="72"/>
          <w:szCs w:val="72"/>
          <w:highlight w:val="none"/>
        </w:rPr>
      </w:pPr>
    </w:p>
    <w:p>
      <w:pPr>
        <w:rPr>
          <w:rFonts w:ascii="宋体" w:hAnsi="宋体" w:cs="宋体"/>
          <w:b/>
          <w:sz w:val="72"/>
          <w:szCs w:val="72"/>
          <w:highlight w:val="none"/>
        </w:rPr>
      </w:pPr>
    </w:p>
    <w:p>
      <w:pPr>
        <w:jc w:val="center"/>
        <w:rPr>
          <w:rFonts w:ascii="宋体" w:hAnsi="宋体" w:cs="宋体"/>
          <w:b/>
          <w:sz w:val="36"/>
          <w:highlight w:val="none"/>
        </w:rPr>
      </w:pPr>
    </w:p>
    <w:p>
      <w:pPr>
        <w:jc w:val="center"/>
        <w:rPr>
          <w:rFonts w:ascii="宋体" w:hAnsi="宋体" w:cs="宋体"/>
          <w:b/>
          <w:sz w:val="36"/>
          <w:highlight w:val="none"/>
        </w:rPr>
      </w:pPr>
    </w:p>
    <w:p>
      <w:pPr>
        <w:jc w:val="center"/>
        <w:rPr>
          <w:rFonts w:ascii="宋体" w:hAnsi="宋体" w:cs="宋体"/>
          <w:b/>
          <w:sz w:val="36"/>
          <w:highlight w:val="none"/>
        </w:rPr>
      </w:pPr>
    </w:p>
    <w:p>
      <w:pPr>
        <w:ind w:firstLine="1265" w:firstLineChars="350"/>
        <w:outlineLvl w:val="1"/>
        <w:rPr>
          <w:rFonts w:ascii="宋体" w:hAnsi="宋体" w:cs="宋体"/>
          <w:b/>
          <w:sz w:val="36"/>
          <w:highlight w:val="none"/>
          <w:u w:val="single"/>
        </w:rPr>
      </w:pPr>
      <w:bookmarkStart w:id="199" w:name="_Toc8082"/>
      <w:r>
        <w:rPr>
          <w:rFonts w:hint="eastAsia" w:ascii="宋体" w:hAnsi="宋体" w:cs="宋体"/>
          <w:b/>
          <w:sz w:val="36"/>
          <w:highlight w:val="none"/>
        </w:rPr>
        <w:t>采 购 编 号：</w:t>
      </w:r>
      <w:bookmarkEnd w:id="199"/>
      <w:r>
        <w:rPr>
          <w:rFonts w:hint="eastAsia" w:ascii="宋体" w:hAnsi="宋体" w:cs="宋体"/>
          <w:b/>
          <w:sz w:val="36"/>
          <w:highlight w:val="none"/>
          <w:u w:val="single"/>
        </w:rPr>
        <w:t xml:space="preserve">                </w:t>
      </w:r>
    </w:p>
    <w:p>
      <w:pPr>
        <w:rPr>
          <w:rFonts w:ascii="宋体" w:hAnsi="宋体" w:cs="宋体"/>
          <w:b/>
          <w:sz w:val="36"/>
          <w:highlight w:val="none"/>
        </w:rPr>
      </w:pPr>
    </w:p>
    <w:p>
      <w:pPr>
        <w:outlineLvl w:val="1"/>
        <w:rPr>
          <w:rFonts w:ascii="宋体" w:hAnsi="宋体" w:cs="宋体"/>
          <w:b/>
          <w:sz w:val="36"/>
          <w:highlight w:val="none"/>
          <w:u w:val="single"/>
        </w:rPr>
      </w:pPr>
      <w:r>
        <w:rPr>
          <w:rFonts w:hint="eastAsia" w:ascii="宋体" w:hAnsi="宋体" w:cs="宋体"/>
          <w:b/>
          <w:sz w:val="36"/>
          <w:highlight w:val="none"/>
        </w:rPr>
        <w:t xml:space="preserve">       </w:t>
      </w:r>
      <w:bookmarkStart w:id="200" w:name="_Toc26536"/>
      <w:r>
        <w:rPr>
          <w:rFonts w:hint="eastAsia" w:ascii="宋体" w:hAnsi="宋体" w:cs="宋体"/>
          <w:b/>
          <w:sz w:val="36"/>
          <w:highlight w:val="none"/>
        </w:rPr>
        <w:t>投标人名称 ：</w:t>
      </w:r>
      <w:bookmarkEnd w:id="200"/>
      <w:r>
        <w:rPr>
          <w:rFonts w:hint="eastAsia" w:ascii="宋体" w:hAnsi="宋体" w:cs="宋体"/>
          <w:b/>
          <w:sz w:val="36"/>
          <w:highlight w:val="none"/>
          <w:u w:val="single"/>
        </w:rPr>
        <w:t xml:space="preserve">                </w:t>
      </w:r>
    </w:p>
    <w:p>
      <w:pPr>
        <w:rPr>
          <w:rFonts w:ascii="宋体" w:hAnsi="宋体" w:cs="宋体"/>
          <w:b/>
          <w:sz w:val="36"/>
          <w:highlight w:val="none"/>
        </w:rPr>
      </w:pPr>
      <w:r>
        <w:rPr>
          <w:rFonts w:hint="eastAsia" w:ascii="宋体" w:hAnsi="宋体" w:cs="宋体"/>
          <w:b/>
          <w:sz w:val="36"/>
          <w:highlight w:val="none"/>
        </w:rPr>
        <w:t xml:space="preserve">      </w:t>
      </w:r>
    </w:p>
    <w:p>
      <w:pPr>
        <w:ind w:firstLine="1066" w:firstLineChars="295"/>
        <w:outlineLvl w:val="1"/>
        <w:rPr>
          <w:rFonts w:ascii="宋体" w:hAnsi="宋体" w:cs="宋体"/>
          <w:b/>
          <w:sz w:val="36"/>
          <w:highlight w:val="none"/>
        </w:rPr>
      </w:pPr>
      <w:r>
        <w:rPr>
          <w:rFonts w:hint="eastAsia" w:ascii="宋体" w:hAnsi="宋体" w:cs="宋体"/>
          <w:b/>
          <w:sz w:val="36"/>
          <w:highlight w:val="none"/>
        </w:rPr>
        <w:t xml:space="preserve"> </w:t>
      </w:r>
      <w:bookmarkStart w:id="201" w:name="_Toc3208"/>
      <w:r>
        <w:rPr>
          <w:rFonts w:hint="eastAsia" w:ascii="宋体" w:hAnsi="宋体" w:cs="宋体"/>
          <w:b/>
          <w:sz w:val="36"/>
          <w:highlight w:val="none"/>
        </w:rPr>
        <w:t>日      期 ：</w:t>
      </w:r>
      <w:bookmarkEnd w:id="201"/>
      <w:r>
        <w:rPr>
          <w:rFonts w:hint="eastAsia" w:ascii="宋体" w:hAnsi="宋体" w:cs="宋体"/>
          <w:b/>
          <w:sz w:val="36"/>
          <w:highlight w:val="none"/>
          <w:u w:val="single"/>
        </w:rPr>
        <w:t xml:space="preserve">                </w:t>
      </w:r>
    </w:p>
    <w:p>
      <w:pPr>
        <w:rPr>
          <w:highlight w:val="none"/>
        </w:rPr>
      </w:pPr>
    </w:p>
    <w:p>
      <w:pPr>
        <w:pStyle w:val="6"/>
        <w:snapToGrid w:val="0"/>
        <w:spacing w:line="420" w:lineRule="atLeast"/>
        <w:ind w:firstLine="0"/>
        <w:jc w:val="center"/>
        <w:rPr>
          <w:rFonts w:ascii="宋体" w:hAnsi="宋体" w:cs="宋体"/>
          <w:b/>
          <w:bCs/>
          <w:sz w:val="36"/>
          <w:szCs w:val="36"/>
          <w:highlight w:val="none"/>
        </w:rPr>
      </w:pPr>
    </w:p>
    <w:p>
      <w:pPr>
        <w:pStyle w:val="6"/>
        <w:snapToGrid w:val="0"/>
        <w:spacing w:line="420" w:lineRule="atLeast"/>
        <w:ind w:firstLine="0"/>
        <w:rPr>
          <w:rFonts w:ascii="宋体" w:hAnsi="宋体" w:cs="宋体"/>
          <w:b/>
          <w:bCs/>
          <w:sz w:val="32"/>
          <w:highlight w:val="none"/>
        </w:rPr>
      </w:pPr>
    </w:p>
    <w:p>
      <w:pPr>
        <w:pStyle w:val="6"/>
        <w:snapToGrid w:val="0"/>
        <w:spacing w:line="420" w:lineRule="atLeast"/>
        <w:ind w:firstLine="0"/>
        <w:rPr>
          <w:rFonts w:ascii="宋体" w:hAnsi="宋体" w:cs="宋体"/>
          <w:b/>
          <w:bCs/>
          <w:sz w:val="32"/>
          <w:highlight w:val="none"/>
        </w:rPr>
      </w:pPr>
    </w:p>
    <w:p>
      <w:pPr>
        <w:pStyle w:val="6"/>
        <w:snapToGrid w:val="0"/>
        <w:spacing w:line="420" w:lineRule="atLeast"/>
        <w:ind w:firstLine="0"/>
        <w:rPr>
          <w:rFonts w:ascii="宋体" w:hAnsi="宋体" w:cs="宋体"/>
          <w:b/>
          <w:bCs/>
          <w:sz w:val="32"/>
          <w:highlight w:val="none"/>
        </w:rPr>
      </w:pPr>
    </w:p>
    <w:p>
      <w:pPr>
        <w:pStyle w:val="6"/>
        <w:snapToGrid w:val="0"/>
        <w:spacing w:line="420" w:lineRule="atLeast"/>
        <w:ind w:firstLine="883" w:firstLineChars="275"/>
        <w:jc w:val="center"/>
        <w:rPr>
          <w:rFonts w:ascii="宋体" w:hAnsi="宋体" w:cs="宋体"/>
          <w:b/>
          <w:bCs/>
          <w:sz w:val="32"/>
          <w:highlight w:val="none"/>
        </w:rPr>
      </w:pPr>
    </w:p>
    <w:p>
      <w:pPr>
        <w:pStyle w:val="6"/>
        <w:snapToGrid w:val="0"/>
        <w:spacing w:line="420" w:lineRule="atLeast"/>
        <w:ind w:firstLine="0"/>
        <w:jc w:val="center"/>
        <w:outlineLvl w:val="0"/>
        <w:rPr>
          <w:rFonts w:ascii="宋体" w:hAnsi="宋体"/>
          <w:b/>
          <w:bCs/>
          <w:sz w:val="36"/>
          <w:szCs w:val="36"/>
          <w:highlight w:val="none"/>
        </w:rPr>
      </w:pPr>
      <w:bookmarkStart w:id="202" w:name="_Toc29297"/>
      <w:r>
        <w:rPr>
          <w:rFonts w:hint="eastAsia" w:ascii="宋体" w:hAnsi="宋体"/>
          <w:b/>
          <w:bCs/>
          <w:sz w:val="36"/>
          <w:szCs w:val="36"/>
          <w:highlight w:val="none"/>
        </w:rPr>
        <w:t>目    录</w:t>
      </w:r>
      <w:bookmarkEnd w:id="202"/>
    </w:p>
    <w:p>
      <w:pPr>
        <w:spacing w:line="360" w:lineRule="auto"/>
        <w:ind w:firstLine="600" w:firstLineChars="200"/>
        <w:rPr>
          <w:rFonts w:ascii="宋体" w:hAnsi="宋体" w:cs="宋体"/>
          <w:sz w:val="30"/>
          <w:szCs w:val="30"/>
          <w:highlight w:val="none"/>
        </w:rPr>
      </w:pPr>
    </w:p>
    <w:p>
      <w:pPr>
        <w:pStyle w:val="26"/>
        <w:tabs>
          <w:tab w:val="right" w:leader="dot" w:pos="9243"/>
        </w:tabs>
        <w:spacing w:line="360" w:lineRule="auto"/>
        <w:outlineLvl w:val="0"/>
        <w:rPr>
          <w:rFonts w:ascii="宋体" w:hAnsi="宋体" w:cs="宋体"/>
          <w:sz w:val="24"/>
          <w:szCs w:val="24"/>
          <w:highlight w:val="none"/>
        </w:rPr>
      </w:pPr>
      <w:bookmarkStart w:id="203" w:name="_Toc8010"/>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"_Toc11643"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  投 标 书</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bookmarkEnd w:id="203"/>
    </w:p>
    <w:p>
      <w:pPr>
        <w:pStyle w:val="26"/>
        <w:tabs>
          <w:tab w:val="right" w:leader="dot" w:pos="9243"/>
        </w:tabs>
        <w:spacing w:line="360" w:lineRule="auto"/>
        <w:outlineLvl w:val="0"/>
        <w:rPr>
          <w:rFonts w:ascii="宋体" w:hAnsi="宋体" w:cs="宋体"/>
          <w:sz w:val="24"/>
          <w:szCs w:val="24"/>
          <w:highlight w:val="none"/>
        </w:rPr>
      </w:pPr>
      <w:bookmarkStart w:id="204" w:name="_Toc10354"/>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"_Toc8532"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 xml:space="preserve">2  </w:t>
      </w:r>
      <w:r>
        <w:rPr>
          <w:rFonts w:hint="eastAsia" w:ascii="宋体" w:hAnsi="宋体" w:cs="宋体"/>
          <w:bCs/>
          <w:sz w:val="24"/>
          <w:szCs w:val="24"/>
          <w:highlight w:val="none"/>
        </w:rPr>
        <w:t>开标一览表</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bookmarkEnd w:id="204"/>
    </w:p>
    <w:p>
      <w:pPr>
        <w:pStyle w:val="26"/>
        <w:tabs>
          <w:tab w:val="right" w:leader="dot" w:pos="9243"/>
        </w:tabs>
        <w:spacing w:line="360" w:lineRule="auto"/>
        <w:outlineLvl w:val="0"/>
        <w:rPr>
          <w:rFonts w:ascii="宋体" w:hAnsi="宋体" w:cs="宋体"/>
          <w:sz w:val="24"/>
          <w:szCs w:val="24"/>
          <w:highlight w:val="none"/>
        </w:rPr>
      </w:pPr>
      <w:bookmarkStart w:id="205" w:name="_Toc7054"/>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"_Toc29866"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 xml:space="preserve">3  </w:t>
      </w:r>
      <w:r>
        <w:rPr>
          <w:rFonts w:hint="eastAsia" w:ascii="宋体" w:hAnsi="宋体" w:cs="宋体"/>
          <w:bCs/>
          <w:sz w:val="24"/>
          <w:szCs w:val="24"/>
          <w:highlight w:val="none"/>
          <w:lang w:val="zh-CN"/>
        </w:rPr>
        <w:t>投标分项报价表</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bookmarkEnd w:id="205"/>
    </w:p>
    <w:p>
      <w:pPr>
        <w:pStyle w:val="26"/>
        <w:tabs>
          <w:tab w:val="right" w:leader="dot" w:pos="9243"/>
        </w:tabs>
        <w:spacing w:line="360" w:lineRule="auto"/>
        <w:outlineLvl w:val="0"/>
        <w:rPr>
          <w:rFonts w:ascii="宋体" w:hAnsi="宋体" w:cs="宋体"/>
          <w:sz w:val="24"/>
          <w:szCs w:val="24"/>
          <w:highlight w:val="none"/>
        </w:rPr>
      </w:pPr>
      <w:r>
        <w:rPr>
          <w:highlight w:val="none"/>
        </w:rPr>
        <w:fldChar w:fldCharType="begin"/>
      </w:r>
      <w:r>
        <w:rPr>
          <w:highlight w:val="none"/>
        </w:rPr>
        <w:instrText xml:space="preserve"> HYPERLINK \l "_Toc29866" </w:instrText>
      </w:r>
      <w:r>
        <w:rPr>
          <w:highlight w:val="none"/>
        </w:rPr>
        <w:fldChar w:fldCharType="separate"/>
      </w:r>
      <w:r>
        <w:rPr>
          <w:rFonts w:hint="eastAsia" w:ascii="宋体" w:hAnsi="宋体" w:cs="宋体"/>
          <w:sz w:val="24"/>
          <w:szCs w:val="24"/>
          <w:highlight w:val="none"/>
        </w:rPr>
        <w:t xml:space="preserve">4  </w:t>
      </w:r>
      <w:r>
        <w:rPr>
          <w:rFonts w:hint="eastAsia" w:ascii="宋体" w:hAnsi="宋体" w:cs="宋体"/>
          <w:bCs/>
          <w:sz w:val="24"/>
          <w:szCs w:val="24"/>
          <w:highlight w:val="none"/>
          <w:lang w:val="zh-CN"/>
        </w:rPr>
        <w:t>货物说明一览表</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p>
    <w:p>
      <w:pPr>
        <w:pStyle w:val="26"/>
        <w:tabs>
          <w:tab w:val="right" w:leader="dot" w:pos="9243"/>
        </w:tabs>
        <w:spacing w:line="360" w:lineRule="auto"/>
        <w:outlineLvl w:val="0"/>
        <w:rPr>
          <w:rFonts w:ascii="宋体" w:hAnsi="宋体" w:cs="宋体"/>
          <w:sz w:val="24"/>
          <w:szCs w:val="24"/>
          <w:highlight w:val="none"/>
        </w:rPr>
      </w:pPr>
      <w:bookmarkStart w:id="206" w:name="_Toc7531"/>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"_Toc15479"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5  货物内容和商务偏离表</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bookmarkEnd w:id="206"/>
    </w:p>
    <w:p>
      <w:pPr>
        <w:pStyle w:val="26"/>
        <w:tabs>
          <w:tab w:val="right" w:leader="dot" w:pos="9243"/>
        </w:tabs>
        <w:spacing w:line="360" w:lineRule="auto"/>
        <w:outlineLvl w:val="0"/>
        <w:rPr>
          <w:rFonts w:ascii="宋体" w:hAnsi="宋体" w:cs="宋体"/>
          <w:sz w:val="24"/>
          <w:szCs w:val="24"/>
          <w:highlight w:val="none"/>
        </w:rPr>
      </w:pPr>
      <w:bookmarkStart w:id="207" w:name="_Toc12658"/>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"_Toc29783"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6  投标人的资格证明文件</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bookmarkEnd w:id="207"/>
    </w:p>
    <w:p>
      <w:pPr>
        <w:pStyle w:val="24"/>
        <w:tabs>
          <w:tab w:val="right" w:leader="dot" w:pos="9243"/>
        </w:tabs>
        <w:spacing w:line="360" w:lineRule="auto"/>
        <w:ind w:firstLine="630" w:firstLineChars="300"/>
        <w:rPr>
          <w:rFonts w:ascii="宋体" w:hAnsi="宋体" w:cs="宋体"/>
          <w:sz w:val="24"/>
          <w:szCs w:val="24"/>
          <w:highlight w:val="none"/>
        </w:rPr>
      </w:pPr>
      <w:r>
        <w:rPr>
          <w:highlight w:val="none"/>
        </w:rPr>
        <w:fldChar w:fldCharType="begin"/>
      </w:r>
      <w:r>
        <w:rPr>
          <w:highlight w:val="none"/>
        </w:rPr>
        <w:instrText xml:space="preserve"> HYPERLINK \l "_Toc24784" </w:instrText>
      </w:r>
      <w:r>
        <w:rPr>
          <w:highlight w:val="none"/>
        </w:rPr>
        <w:fldChar w:fldCharType="separate"/>
      </w:r>
      <w:r>
        <w:rPr>
          <w:rFonts w:hint="eastAsia" w:ascii="宋体" w:hAnsi="宋体" w:cs="宋体"/>
          <w:sz w:val="24"/>
          <w:szCs w:val="24"/>
          <w:highlight w:val="none"/>
        </w:rPr>
        <w:t>6-1 法定代表人授权书</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p>
    <w:p>
      <w:pPr>
        <w:pStyle w:val="24"/>
        <w:tabs>
          <w:tab w:val="right" w:leader="dot" w:pos="9243"/>
        </w:tabs>
        <w:spacing w:line="360" w:lineRule="auto"/>
        <w:ind w:firstLine="630" w:firstLineChars="300"/>
        <w:rPr>
          <w:rFonts w:ascii="宋体" w:hAnsi="宋体" w:cs="宋体"/>
          <w:sz w:val="24"/>
          <w:szCs w:val="24"/>
          <w:highlight w:val="none"/>
        </w:rPr>
      </w:pPr>
      <w:r>
        <w:rPr>
          <w:highlight w:val="none"/>
        </w:rPr>
        <w:fldChar w:fldCharType="begin"/>
      </w:r>
      <w:r>
        <w:rPr>
          <w:highlight w:val="none"/>
        </w:rPr>
        <w:instrText xml:space="preserve"> HYPERLINK \l "_Toc22857" </w:instrText>
      </w:r>
      <w:r>
        <w:rPr>
          <w:highlight w:val="none"/>
        </w:rPr>
        <w:fldChar w:fldCharType="separate"/>
      </w:r>
      <w:r>
        <w:rPr>
          <w:rFonts w:hint="eastAsia" w:ascii="宋体" w:hAnsi="宋体" w:cs="宋体"/>
          <w:sz w:val="24"/>
          <w:szCs w:val="24"/>
          <w:highlight w:val="none"/>
        </w:rPr>
        <w:t>6-2法人营业执照、税务登记证等</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p>
    <w:p>
      <w:pPr>
        <w:pStyle w:val="24"/>
        <w:tabs>
          <w:tab w:val="right" w:leader="dot" w:pos="9243"/>
        </w:tabs>
        <w:spacing w:line="360" w:lineRule="auto"/>
        <w:ind w:firstLine="720" w:firstLineChars="300"/>
        <w:rPr>
          <w:rFonts w:ascii="宋体" w:hAnsi="宋体" w:cs="宋体"/>
          <w:sz w:val="24"/>
          <w:szCs w:val="24"/>
          <w:highlight w:val="none"/>
        </w:rPr>
      </w:pPr>
      <w:r>
        <w:rPr>
          <w:rFonts w:hint="eastAsia" w:ascii="宋体" w:hAnsi="宋体" w:cs="宋体"/>
          <w:sz w:val="24"/>
          <w:szCs w:val="24"/>
          <w:highlight w:val="none"/>
        </w:rPr>
        <w:t xml:space="preserve"> </w:t>
      </w:r>
      <w:r>
        <w:rPr>
          <w:highlight w:val="none"/>
        </w:rPr>
        <w:fldChar w:fldCharType="begin"/>
      </w:r>
      <w:r>
        <w:rPr>
          <w:highlight w:val="none"/>
        </w:rPr>
        <w:instrText xml:space="preserve"> HYPERLINK \l "_Toc24784" </w:instrText>
      </w:r>
      <w:r>
        <w:rPr>
          <w:highlight w:val="none"/>
        </w:rPr>
        <w:fldChar w:fldCharType="separate"/>
      </w:r>
      <w:r>
        <w:rPr>
          <w:rFonts w:hint="eastAsia" w:ascii="宋体" w:hAnsi="宋体" w:cs="宋体"/>
          <w:sz w:val="24"/>
          <w:szCs w:val="24"/>
          <w:highlight w:val="none"/>
        </w:rPr>
        <w:t>6-1 参加采购活动前三年内在经营活动中没有重大违法记录书面声明</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p>
    <w:p>
      <w:pPr>
        <w:pStyle w:val="26"/>
        <w:tabs>
          <w:tab w:val="right" w:leader="dot" w:pos="9243"/>
        </w:tabs>
        <w:spacing w:line="360" w:lineRule="auto"/>
        <w:outlineLvl w:val="0"/>
        <w:rPr>
          <w:rFonts w:ascii="宋体" w:hAnsi="宋体" w:cs="宋体"/>
          <w:sz w:val="24"/>
          <w:szCs w:val="24"/>
          <w:highlight w:val="none"/>
        </w:rPr>
      </w:pPr>
      <w:bookmarkStart w:id="208" w:name="_Toc26359"/>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"_Toc1950"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7  拟派出项目负责人简要情况表</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bookmarkEnd w:id="208"/>
    </w:p>
    <w:p>
      <w:pPr>
        <w:pStyle w:val="26"/>
        <w:tabs>
          <w:tab w:val="right" w:leader="dot" w:pos="9243"/>
        </w:tabs>
        <w:spacing w:line="360" w:lineRule="auto"/>
        <w:outlineLvl w:val="0"/>
        <w:rPr>
          <w:rFonts w:ascii="宋体" w:hAnsi="宋体" w:cs="宋体"/>
          <w:sz w:val="24"/>
          <w:szCs w:val="24"/>
          <w:highlight w:val="none"/>
        </w:rPr>
      </w:pPr>
      <w:bookmarkStart w:id="209" w:name="_Toc30284"/>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"_Toc273"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8  拟派出项目技术负责人简要情况表</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bookmarkEnd w:id="209"/>
    </w:p>
    <w:p>
      <w:pPr>
        <w:pStyle w:val="26"/>
        <w:tabs>
          <w:tab w:val="right" w:leader="dot" w:pos="9243"/>
        </w:tabs>
        <w:spacing w:line="360" w:lineRule="auto"/>
        <w:outlineLvl w:val="0"/>
        <w:rPr>
          <w:rFonts w:ascii="宋体" w:hAnsi="宋体" w:cs="宋体"/>
          <w:sz w:val="24"/>
          <w:szCs w:val="24"/>
          <w:highlight w:val="none"/>
        </w:rPr>
      </w:pPr>
      <w:bookmarkStart w:id="210" w:name="_Toc27281"/>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"_Toc25681"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9  项目部施工管理人员到位承诺书</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bookmarkEnd w:id="210"/>
    </w:p>
    <w:p>
      <w:pPr>
        <w:pStyle w:val="26"/>
        <w:tabs>
          <w:tab w:val="right" w:leader="dot" w:pos="9243"/>
        </w:tabs>
        <w:spacing w:line="360" w:lineRule="auto"/>
        <w:outlineLvl w:val="0"/>
        <w:rPr>
          <w:rFonts w:ascii="宋体" w:hAnsi="宋体" w:cs="宋体"/>
          <w:sz w:val="24"/>
          <w:szCs w:val="24"/>
          <w:highlight w:val="none"/>
        </w:rPr>
      </w:pPr>
      <w:bookmarkStart w:id="211" w:name="_Toc20772"/>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"_Toc29945"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10</w:t>
      </w:r>
      <w:r>
        <w:rPr>
          <w:rFonts w:hint="eastAsia" w:ascii="宋体" w:hAnsi="宋体" w:cs="宋体"/>
          <w:bCs/>
          <w:sz w:val="24"/>
          <w:szCs w:val="24"/>
          <w:highlight w:val="none"/>
        </w:rPr>
        <w:t xml:space="preserve">  投标</w:t>
      </w:r>
      <w:r>
        <w:rPr>
          <w:rFonts w:hint="eastAsia" w:ascii="宋体" w:hAnsi="宋体" w:cs="宋体"/>
          <w:sz w:val="24"/>
          <w:szCs w:val="24"/>
          <w:highlight w:val="none"/>
        </w:rPr>
        <w:t>人提交的其它资料</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bookmarkEnd w:id="211"/>
    </w:p>
    <w:p>
      <w:pPr>
        <w:pStyle w:val="26"/>
        <w:tabs>
          <w:tab w:val="right" w:leader="dot" w:pos="9243"/>
        </w:tabs>
        <w:spacing w:line="360" w:lineRule="auto"/>
        <w:outlineLvl w:val="0"/>
        <w:rPr>
          <w:rFonts w:ascii="宋体" w:hAnsi="宋体" w:cs="宋体"/>
          <w:sz w:val="24"/>
          <w:szCs w:val="24"/>
          <w:highlight w:val="none"/>
        </w:rPr>
      </w:pPr>
      <w:bookmarkStart w:id="212" w:name="_Toc5302"/>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"_Toc22589"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11 招标服务费承诺书</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bookmarkEnd w:id="212"/>
    </w:p>
    <w:p>
      <w:pPr>
        <w:pStyle w:val="26"/>
        <w:tabs>
          <w:tab w:val="right" w:leader="dot" w:pos="9243"/>
        </w:tabs>
        <w:spacing w:line="360" w:lineRule="auto"/>
        <w:outlineLvl w:val="0"/>
        <w:rPr>
          <w:rFonts w:ascii="宋体" w:hAnsi="宋体" w:cs="宋体"/>
          <w:sz w:val="24"/>
          <w:szCs w:val="24"/>
          <w:highlight w:val="none"/>
        </w:rPr>
      </w:pPr>
      <w:bookmarkStart w:id="213" w:name="_Toc24527"/>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"_Toc24939"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12 保证金提交申明函</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bookmarkEnd w:id="213"/>
    </w:p>
    <w:p>
      <w:pPr>
        <w:pStyle w:val="26"/>
        <w:tabs>
          <w:tab w:val="right" w:leader="dot" w:pos="9243"/>
        </w:tabs>
        <w:spacing w:line="360" w:lineRule="auto"/>
        <w:outlineLvl w:val="0"/>
        <w:rPr>
          <w:sz w:val="24"/>
          <w:szCs w:val="24"/>
          <w:highlight w:val="none"/>
        </w:rPr>
      </w:pPr>
      <w:bookmarkStart w:id="214" w:name="_Toc2568"/>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"_Toc5348"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13 退回保证金授权函</w:t>
      </w:r>
      <w:r>
        <w:rPr>
          <w:rFonts w:hint="eastAsia" w:ascii="宋体" w:hAnsi="宋体" w:cs="宋体"/>
          <w:sz w:val="24"/>
          <w:szCs w:val="24"/>
          <w:highlight w:val="none"/>
        </w:rPr>
        <w:tab/>
      </w:r>
      <w:r>
        <w:rPr>
          <w:rFonts w:hint="eastAsia" w:ascii="宋体" w:hAnsi="宋体" w:cs="宋体"/>
          <w:sz w:val="24"/>
          <w:szCs w:val="24"/>
          <w:highlight w:val="none"/>
        </w:rPr>
        <w:t>页</w:t>
      </w:r>
      <w:r>
        <w:rPr>
          <w:rFonts w:hint="eastAsia" w:ascii="宋体" w:hAnsi="宋体" w:cs="宋体"/>
          <w:sz w:val="24"/>
          <w:szCs w:val="24"/>
          <w:highlight w:val="none"/>
        </w:rPr>
        <w:fldChar w:fldCharType="end"/>
      </w:r>
      <w:r>
        <w:rPr>
          <w:rFonts w:hint="eastAsia" w:ascii="宋体" w:hAnsi="宋体" w:cs="宋体"/>
          <w:sz w:val="24"/>
          <w:szCs w:val="24"/>
          <w:highlight w:val="none"/>
        </w:rPr>
        <w:t>码</w:t>
      </w:r>
      <w:bookmarkEnd w:id="214"/>
    </w:p>
    <w:p>
      <w:pPr>
        <w:jc w:val="left"/>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pStyle w:val="2"/>
        <w:rPr>
          <w:highlight w:val="none"/>
        </w:rPr>
      </w:pPr>
    </w:p>
    <w:p>
      <w:pPr>
        <w:spacing w:line="440" w:lineRule="exact"/>
        <w:rPr>
          <w:rFonts w:ascii="宋体" w:hAnsi="宋体" w:cs="宋体"/>
          <w:sz w:val="36"/>
          <w:szCs w:val="36"/>
          <w:highlight w:val="none"/>
        </w:rPr>
      </w:pPr>
    </w:p>
    <w:p>
      <w:pPr>
        <w:spacing w:line="440" w:lineRule="exact"/>
        <w:jc w:val="center"/>
        <w:outlineLvl w:val="0"/>
        <w:rPr>
          <w:rFonts w:ascii="宋体" w:hAnsi="宋体" w:cs="宋体"/>
          <w:b/>
          <w:bCs/>
          <w:sz w:val="36"/>
          <w:szCs w:val="36"/>
          <w:highlight w:val="none"/>
        </w:rPr>
      </w:pPr>
      <w:bookmarkStart w:id="215" w:name="_Toc16895"/>
      <w:bookmarkStart w:id="216" w:name="_Toc40254145"/>
      <w:r>
        <w:rPr>
          <w:rFonts w:hint="eastAsia" w:ascii="宋体" w:hAnsi="宋体" w:cs="宋体"/>
          <w:b/>
          <w:bCs/>
          <w:sz w:val="36"/>
          <w:szCs w:val="36"/>
          <w:highlight w:val="none"/>
        </w:rPr>
        <w:t>1  投 标 书</w:t>
      </w:r>
      <w:bookmarkEnd w:id="215"/>
      <w:bookmarkEnd w:id="216"/>
    </w:p>
    <w:p>
      <w:pPr>
        <w:spacing w:line="380" w:lineRule="exact"/>
        <w:rPr>
          <w:rFonts w:ascii="宋体" w:hAnsi="宋体"/>
          <w:sz w:val="24"/>
          <w:highlight w:val="none"/>
        </w:rPr>
      </w:pPr>
      <w:r>
        <w:rPr>
          <w:rFonts w:hint="eastAsia" w:ascii="宋体" w:hAnsi="宋体"/>
          <w:sz w:val="24"/>
          <w:highlight w:val="none"/>
        </w:rPr>
        <w:t>致：</w:t>
      </w:r>
      <w:r>
        <w:rPr>
          <w:rFonts w:hint="eastAsia" w:ascii="宋体" w:hAnsi="宋体"/>
          <w:sz w:val="24"/>
          <w:highlight w:val="none"/>
          <w:u w:val="single"/>
        </w:rPr>
        <w:t xml:space="preserve">               </w:t>
      </w: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 xml:space="preserve">    根据贵方为 </w:t>
      </w:r>
      <w:r>
        <w:rPr>
          <w:rFonts w:hint="eastAsia" w:ascii="宋体" w:hAnsi="宋体"/>
          <w:sz w:val="24"/>
          <w:highlight w:val="none"/>
          <w:u w:val="single"/>
        </w:rPr>
        <w:t xml:space="preserve">     </w:t>
      </w:r>
      <w:r>
        <w:rPr>
          <w:rFonts w:hint="eastAsia" w:ascii="宋体" w:hAnsi="宋体"/>
          <w:sz w:val="24"/>
          <w:highlight w:val="none"/>
        </w:rPr>
        <w:t xml:space="preserve">项目的投标邀请（招标编号）: </w:t>
      </w:r>
      <w:r>
        <w:rPr>
          <w:rFonts w:hint="eastAsia" w:ascii="宋体" w:hAnsi="宋体"/>
          <w:sz w:val="24"/>
          <w:highlight w:val="none"/>
          <w:u w:val="single"/>
        </w:rPr>
        <w:t xml:space="preserve">        </w:t>
      </w:r>
      <w:r>
        <w:rPr>
          <w:rFonts w:hint="eastAsia" w:ascii="宋体" w:hAnsi="宋体"/>
          <w:sz w:val="24"/>
          <w:highlight w:val="none"/>
        </w:rPr>
        <w:t>，本签字代表（全名、职务）正式授权并代表投标人（投标人名称、地址）提交下述文件正本壹份和副本四份。</w:t>
      </w:r>
    </w:p>
    <w:p>
      <w:pPr>
        <w:ind w:firstLine="480" w:firstLineChars="200"/>
        <w:rPr>
          <w:rFonts w:ascii="宋体" w:hAnsi="宋体"/>
          <w:sz w:val="24"/>
          <w:highlight w:val="none"/>
        </w:rPr>
      </w:pPr>
      <w:r>
        <w:rPr>
          <w:rFonts w:hint="eastAsia" w:ascii="宋体" w:hAnsi="宋体" w:cs="宋体"/>
          <w:sz w:val="24"/>
          <w:highlight w:val="none"/>
        </w:rPr>
        <w:t xml:space="preserve">(1) </w:t>
      </w:r>
      <w:r>
        <w:rPr>
          <w:rFonts w:hint="eastAsia" w:ascii="宋体" w:hAnsi="宋体"/>
          <w:sz w:val="24"/>
          <w:highlight w:val="none"/>
        </w:rPr>
        <w:t>开标一览表</w:t>
      </w:r>
    </w:p>
    <w:p>
      <w:pPr>
        <w:ind w:firstLine="480" w:firstLineChars="200"/>
        <w:rPr>
          <w:rFonts w:ascii="宋体" w:hAnsi="宋体" w:cs="宋体"/>
          <w:sz w:val="24"/>
          <w:highlight w:val="none"/>
        </w:rPr>
      </w:pPr>
      <w:r>
        <w:rPr>
          <w:rFonts w:hint="eastAsia" w:ascii="宋体" w:hAnsi="宋体" w:cs="宋体"/>
          <w:sz w:val="24"/>
          <w:highlight w:val="none"/>
        </w:rPr>
        <w:t>(2) 投标分项报价表</w:t>
      </w:r>
    </w:p>
    <w:p>
      <w:pPr>
        <w:ind w:firstLine="480" w:firstLineChars="200"/>
        <w:rPr>
          <w:rFonts w:ascii="宋体" w:hAnsi="宋体" w:cs="宋体"/>
          <w:sz w:val="24"/>
          <w:highlight w:val="none"/>
        </w:rPr>
      </w:pPr>
      <w:r>
        <w:rPr>
          <w:rFonts w:hint="eastAsia" w:ascii="宋体" w:hAnsi="宋体" w:cs="宋体"/>
          <w:sz w:val="24"/>
          <w:highlight w:val="none"/>
        </w:rPr>
        <w:t>(3) 服务内容和商务偏离表</w:t>
      </w:r>
    </w:p>
    <w:p>
      <w:pPr>
        <w:ind w:firstLine="480" w:firstLineChars="200"/>
        <w:rPr>
          <w:rFonts w:ascii="宋体" w:hAnsi="宋体" w:cs="宋体"/>
          <w:sz w:val="24"/>
          <w:highlight w:val="none"/>
        </w:rPr>
      </w:pPr>
      <w:r>
        <w:rPr>
          <w:rFonts w:hint="eastAsia" w:ascii="宋体" w:hAnsi="宋体" w:cs="宋体"/>
          <w:sz w:val="24"/>
          <w:highlight w:val="none"/>
        </w:rPr>
        <w:t>(4) 投标人资格证明文件</w:t>
      </w:r>
    </w:p>
    <w:p>
      <w:pPr>
        <w:ind w:firstLine="480" w:firstLineChars="200"/>
        <w:rPr>
          <w:rFonts w:ascii="宋体" w:hAnsi="宋体"/>
          <w:sz w:val="24"/>
          <w:highlight w:val="none"/>
        </w:rPr>
      </w:pPr>
      <w:r>
        <w:rPr>
          <w:rFonts w:hint="eastAsia" w:ascii="宋体" w:hAnsi="宋体" w:cs="宋体"/>
          <w:sz w:val="24"/>
          <w:highlight w:val="none"/>
        </w:rPr>
        <w:t xml:space="preserve">(5) </w:t>
      </w:r>
      <w:r>
        <w:rPr>
          <w:rFonts w:hint="eastAsia" w:ascii="宋体" w:hAnsi="宋体"/>
          <w:sz w:val="24"/>
          <w:highlight w:val="none"/>
        </w:rPr>
        <w:t>项目执行组织情况</w:t>
      </w:r>
    </w:p>
    <w:p>
      <w:pPr>
        <w:ind w:firstLine="480" w:firstLineChars="200"/>
        <w:rPr>
          <w:rFonts w:ascii="宋体" w:hAnsi="宋体" w:cs="宋体"/>
          <w:sz w:val="24"/>
          <w:highlight w:val="none"/>
        </w:rPr>
      </w:pPr>
      <w:r>
        <w:rPr>
          <w:rFonts w:hint="eastAsia" w:ascii="宋体" w:hAnsi="宋体" w:cs="宋体"/>
          <w:sz w:val="24"/>
          <w:highlight w:val="none"/>
        </w:rPr>
        <w:t>(6) 执行服务方案</w:t>
      </w:r>
    </w:p>
    <w:p>
      <w:pPr>
        <w:ind w:firstLine="480" w:firstLineChars="200"/>
        <w:rPr>
          <w:rFonts w:ascii="宋体" w:hAnsi="宋体" w:cs="宋体"/>
          <w:sz w:val="24"/>
          <w:highlight w:val="none"/>
        </w:rPr>
      </w:pPr>
      <w:r>
        <w:rPr>
          <w:rFonts w:hint="eastAsia" w:ascii="宋体" w:hAnsi="宋体" w:cs="宋体"/>
          <w:sz w:val="24"/>
          <w:highlight w:val="none"/>
        </w:rPr>
        <w:t>(7) 投标人提交的其它资料</w:t>
      </w:r>
    </w:p>
    <w:p>
      <w:pPr>
        <w:ind w:firstLine="480" w:firstLineChars="200"/>
        <w:rPr>
          <w:rFonts w:ascii="宋体" w:hAnsi="宋体" w:cs="宋体"/>
          <w:sz w:val="24"/>
          <w:highlight w:val="none"/>
        </w:rPr>
      </w:pPr>
      <w:r>
        <w:rPr>
          <w:rFonts w:hint="eastAsia" w:ascii="宋体" w:hAnsi="宋体" w:cs="宋体"/>
          <w:sz w:val="24"/>
          <w:highlight w:val="none"/>
        </w:rPr>
        <w:t>(8) 招标服务费承诺书</w:t>
      </w:r>
    </w:p>
    <w:p>
      <w:pPr>
        <w:ind w:firstLine="480" w:firstLineChars="200"/>
        <w:rPr>
          <w:rFonts w:ascii="宋体" w:hAnsi="宋体" w:cs="宋体"/>
          <w:sz w:val="24"/>
          <w:highlight w:val="none"/>
        </w:rPr>
      </w:pPr>
      <w:r>
        <w:rPr>
          <w:rFonts w:hint="eastAsia" w:ascii="宋体" w:hAnsi="宋体" w:cs="宋体"/>
          <w:sz w:val="24"/>
          <w:highlight w:val="none"/>
        </w:rPr>
        <w:t>(9) 提交投标保证金声明函</w:t>
      </w:r>
    </w:p>
    <w:p>
      <w:pPr>
        <w:ind w:firstLine="480" w:firstLineChars="200"/>
        <w:rPr>
          <w:rFonts w:ascii="宋体" w:hAnsi="宋体" w:cs="宋体"/>
          <w:sz w:val="24"/>
          <w:highlight w:val="none"/>
        </w:rPr>
      </w:pPr>
      <w:r>
        <w:rPr>
          <w:rFonts w:hint="eastAsia" w:ascii="宋体" w:hAnsi="宋体" w:cs="宋体"/>
          <w:sz w:val="24"/>
          <w:highlight w:val="none"/>
        </w:rPr>
        <w:t>(10) 退回保证金申请函</w:t>
      </w:r>
    </w:p>
    <w:p>
      <w:pPr>
        <w:ind w:firstLine="480" w:firstLineChars="200"/>
        <w:rPr>
          <w:rFonts w:ascii="宋体" w:hAnsi="宋体"/>
          <w:sz w:val="24"/>
          <w:highlight w:val="none"/>
        </w:rPr>
      </w:pPr>
      <w:r>
        <w:rPr>
          <w:rFonts w:hint="eastAsia" w:ascii="宋体" w:hAnsi="宋体"/>
          <w:sz w:val="24"/>
          <w:highlight w:val="none"/>
        </w:rPr>
        <w:t xml:space="preserve">(11) 以 </w:t>
      </w:r>
      <w:r>
        <w:rPr>
          <w:rFonts w:hint="eastAsia" w:ascii="宋体" w:hAnsi="宋体"/>
          <w:sz w:val="24"/>
          <w:highlight w:val="none"/>
          <w:u w:val="single"/>
        </w:rPr>
        <w:t xml:space="preserve">      </w:t>
      </w:r>
      <w:r>
        <w:rPr>
          <w:rFonts w:hint="eastAsia" w:ascii="宋体" w:hAnsi="宋体"/>
          <w:sz w:val="24"/>
          <w:highlight w:val="none"/>
        </w:rPr>
        <w:t>方式提供的金额为人民币</w:t>
      </w:r>
      <w:r>
        <w:rPr>
          <w:rFonts w:hint="eastAsia" w:ascii="宋体" w:hAnsi="宋体"/>
          <w:sz w:val="24"/>
          <w:highlight w:val="none"/>
          <w:u w:val="single"/>
        </w:rPr>
        <w:t xml:space="preserve">       </w:t>
      </w:r>
      <w:r>
        <w:rPr>
          <w:rFonts w:hint="eastAsia" w:ascii="宋体" w:hAnsi="宋体"/>
          <w:sz w:val="24"/>
          <w:highlight w:val="none"/>
        </w:rPr>
        <w:t>元的投标保证金</w:t>
      </w:r>
    </w:p>
    <w:p>
      <w:pPr>
        <w:spacing w:line="380" w:lineRule="exact"/>
        <w:rPr>
          <w:rFonts w:ascii="宋体" w:hAnsi="宋体"/>
          <w:sz w:val="24"/>
          <w:highlight w:val="none"/>
        </w:rPr>
      </w:pPr>
      <w:r>
        <w:rPr>
          <w:rFonts w:hint="eastAsia" w:ascii="宋体" w:hAnsi="宋体"/>
          <w:sz w:val="24"/>
          <w:highlight w:val="none"/>
        </w:rPr>
        <w:t xml:space="preserve">    据此函，签字代表宣布同意如下：</w:t>
      </w:r>
    </w:p>
    <w:p>
      <w:pPr>
        <w:spacing w:line="380" w:lineRule="exact"/>
        <w:ind w:firstLine="480" w:firstLineChars="200"/>
        <w:rPr>
          <w:rFonts w:ascii="宋体" w:hAnsi="宋体"/>
          <w:sz w:val="24"/>
          <w:highlight w:val="none"/>
        </w:rPr>
      </w:pPr>
      <w:r>
        <w:rPr>
          <w:rFonts w:hint="eastAsia" w:ascii="宋体" w:hAnsi="宋体"/>
          <w:sz w:val="24"/>
          <w:highlight w:val="none"/>
        </w:rPr>
        <w:t>1.投标人已详细审查全部招标文件，包括修改文件（如有的话）和有关附件，将自行承担因对全部招标文件理解不正确或误解而产生的相应后果。</w:t>
      </w:r>
    </w:p>
    <w:p>
      <w:pPr>
        <w:spacing w:line="380" w:lineRule="exact"/>
        <w:rPr>
          <w:rFonts w:ascii="宋体" w:hAnsi="宋体"/>
          <w:sz w:val="24"/>
          <w:highlight w:val="none"/>
        </w:rPr>
      </w:pPr>
      <w:r>
        <w:rPr>
          <w:rFonts w:hint="eastAsia" w:ascii="宋体" w:hAnsi="宋体"/>
          <w:sz w:val="24"/>
          <w:highlight w:val="none"/>
        </w:rPr>
        <w:t xml:space="preserve">    2.投标人保证遵守招标文件的全部规定，投标人所提交的材料中所含的信息均为真实、准确、完整，且不具有任何误导性。</w:t>
      </w:r>
    </w:p>
    <w:p>
      <w:pPr>
        <w:spacing w:line="380" w:lineRule="exact"/>
        <w:rPr>
          <w:rFonts w:ascii="宋体" w:hAnsi="宋体"/>
          <w:sz w:val="24"/>
          <w:highlight w:val="none"/>
        </w:rPr>
      </w:pPr>
      <w:r>
        <w:rPr>
          <w:rFonts w:hint="eastAsia" w:ascii="宋体" w:hAnsi="宋体"/>
          <w:sz w:val="24"/>
          <w:highlight w:val="none"/>
        </w:rPr>
        <w:t xml:space="preserve">    3.投标人将按招标文件的规定履行合同责任和义务。</w:t>
      </w:r>
    </w:p>
    <w:p>
      <w:pPr>
        <w:spacing w:line="380" w:lineRule="exact"/>
        <w:rPr>
          <w:rFonts w:ascii="宋体" w:hAnsi="宋体"/>
          <w:sz w:val="24"/>
          <w:highlight w:val="none"/>
        </w:rPr>
      </w:pPr>
      <w:r>
        <w:rPr>
          <w:rFonts w:hint="eastAsia" w:ascii="宋体" w:hAnsi="宋体"/>
          <w:sz w:val="24"/>
          <w:highlight w:val="none"/>
        </w:rPr>
        <w:t xml:space="preserve">    4.本投标文件自开标日起投标有效期为：在招标文件投标人须知前附表第3项所规定的期限内保持有效。</w:t>
      </w:r>
    </w:p>
    <w:p>
      <w:pPr>
        <w:spacing w:line="380" w:lineRule="exact"/>
        <w:rPr>
          <w:rFonts w:ascii="宋体" w:hAnsi="宋体"/>
          <w:sz w:val="24"/>
          <w:highlight w:val="none"/>
        </w:rPr>
      </w:pPr>
      <w:r>
        <w:rPr>
          <w:rFonts w:hint="eastAsia" w:ascii="宋体" w:hAnsi="宋体"/>
          <w:sz w:val="24"/>
          <w:highlight w:val="none"/>
        </w:rPr>
        <w:t xml:space="preserve">    5.如果发生招标文件第二章投标人须知第12条所述情况，则同意招标代理机构不予退还投标保证金。</w:t>
      </w:r>
    </w:p>
    <w:p>
      <w:pPr>
        <w:spacing w:line="380" w:lineRule="exact"/>
        <w:ind w:firstLine="480" w:firstLineChars="200"/>
        <w:rPr>
          <w:rFonts w:ascii="宋体" w:hAnsi="宋体"/>
          <w:sz w:val="24"/>
          <w:highlight w:val="none"/>
        </w:rPr>
      </w:pPr>
      <w:r>
        <w:rPr>
          <w:rFonts w:hint="eastAsia" w:ascii="宋体" w:hAnsi="宋体"/>
          <w:sz w:val="24"/>
          <w:highlight w:val="none"/>
        </w:rPr>
        <w:t>6.投标人同意提供按照招标采购单位可能要求的与其投标有关的一切数据或资料，完全理解贵方不一定要接受最低的报价或收到的任何投标。</w:t>
      </w:r>
    </w:p>
    <w:p>
      <w:pPr>
        <w:spacing w:line="380" w:lineRule="exact"/>
        <w:ind w:firstLine="480" w:firstLineChars="200"/>
        <w:rPr>
          <w:rFonts w:ascii="宋体" w:hAnsi="宋体"/>
          <w:sz w:val="24"/>
          <w:highlight w:val="none"/>
        </w:rPr>
      </w:pPr>
      <w:r>
        <w:rPr>
          <w:rFonts w:hint="eastAsia" w:ascii="宋体" w:hAnsi="宋体"/>
          <w:sz w:val="24"/>
          <w:highlight w:val="none"/>
        </w:rPr>
        <w:t>7. 与本投标有关的一切正式往来通讯请寄：</w:t>
      </w:r>
    </w:p>
    <w:p>
      <w:pPr>
        <w:spacing w:line="380" w:lineRule="exact"/>
        <w:rPr>
          <w:rFonts w:ascii="宋体" w:hAnsi="宋体"/>
          <w:sz w:val="24"/>
          <w:highlight w:val="none"/>
          <w:u w:val="single"/>
        </w:rPr>
      </w:pPr>
      <w:r>
        <w:rPr>
          <w:rFonts w:hint="eastAsia" w:ascii="宋体" w:hAnsi="宋体"/>
          <w:sz w:val="24"/>
          <w:highlight w:val="none"/>
        </w:rPr>
        <w:t xml:space="preserve">      地址： </w:t>
      </w:r>
      <w:r>
        <w:rPr>
          <w:rFonts w:hint="eastAsia" w:ascii="宋体" w:hAnsi="宋体"/>
          <w:sz w:val="24"/>
          <w:highlight w:val="none"/>
          <w:u w:val="single"/>
        </w:rPr>
        <w:t xml:space="preserve">                </w:t>
      </w:r>
      <w:r>
        <w:rPr>
          <w:rFonts w:hint="eastAsia" w:ascii="宋体" w:hAnsi="宋体"/>
          <w:sz w:val="24"/>
          <w:highlight w:val="none"/>
        </w:rPr>
        <w:t xml:space="preserve"> 邮编： </w:t>
      </w:r>
      <w:r>
        <w:rPr>
          <w:rFonts w:hint="eastAsia" w:ascii="宋体" w:hAnsi="宋体"/>
          <w:sz w:val="24"/>
          <w:highlight w:val="none"/>
          <w:u w:val="single"/>
        </w:rPr>
        <w:t xml:space="preserve">                 </w:t>
      </w:r>
    </w:p>
    <w:p>
      <w:pPr>
        <w:spacing w:line="380" w:lineRule="exact"/>
        <w:rPr>
          <w:rFonts w:ascii="宋体" w:hAnsi="宋体"/>
          <w:sz w:val="24"/>
          <w:highlight w:val="none"/>
          <w:u w:val="single"/>
        </w:rPr>
      </w:pPr>
      <w:r>
        <w:rPr>
          <w:rFonts w:hint="eastAsia" w:ascii="宋体" w:hAnsi="宋体"/>
          <w:sz w:val="24"/>
          <w:highlight w:val="none"/>
        </w:rPr>
        <w:t xml:space="preserve">      电话： </w:t>
      </w:r>
      <w:r>
        <w:rPr>
          <w:rFonts w:hint="eastAsia" w:ascii="宋体" w:hAnsi="宋体"/>
          <w:sz w:val="24"/>
          <w:highlight w:val="none"/>
          <w:u w:val="single"/>
        </w:rPr>
        <w:t xml:space="preserve">                </w:t>
      </w:r>
      <w:r>
        <w:rPr>
          <w:rFonts w:hint="eastAsia" w:ascii="宋体" w:hAnsi="宋体"/>
          <w:sz w:val="24"/>
          <w:highlight w:val="none"/>
        </w:rPr>
        <w:t xml:space="preserve"> 传真： </w:t>
      </w:r>
      <w:r>
        <w:rPr>
          <w:rFonts w:hint="eastAsia" w:ascii="宋体" w:hAnsi="宋体"/>
          <w:sz w:val="24"/>
          <w:highlight w:val="none"/>
          <w:u w:val="single"/>
        </w:rPr>
        <w:t xml:space="preserve">                 </w:t>
      </w:r>
    </w:p>
    <w:p>
      <w:pPr>
        <w:spacing w:line="380" w:lineRule="exact"/>
        <w:rPr>
          <w:rFonts w:ascii="宋体" w:hAnsi="宋体"/>
          <w:sz w:val="24"/>
          <w:highlight w:val="none"/>
          <w:u w:val="single"/>
        </w:rPr>
      </w:pPr>
      <w:r>
        <w:rPr>
          <w:rFonts w:hint="eastAsia" w:ascii="宋体" w:hAnsi="宋体"/>
          <w:sz w:val="24"/>
          <w:highlight w:val="none"/>
        </w:rPr>
        <w:t xml:space="preserve">      投标人代表签字： </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 xml:space="preserve">      投标人（全称并加盖公章）：</w:t>
      </w:r>
      <w:r>
        <w:rPr>
          <w:rFonts w:hint="eastAsia" w:ascii="宋体" w:hAnsi="宋体"/>
          <w:sz w:val="24"/>
          <w:highlight w:val="none"/>
          <w:u w:val="single"/>
        </w:rPr>
        <w:t xml:space="preserve">                       </w:t>
      </w:r>
    </w:p>
    <w:p>
      <w:pPr>
        <w:tabs>
          <w:tab w:val="center" w:pos="900"/>
          <w:tab w:val="center" w:pos="1080"/>
        </w:tabs>
        <w:spacing w:line="360" w:lineRule="auto"/>
        <w:ind w:firstLine="435"/>
        <w:rPr>
          <w:rFonts w:ascii="宋体" w:hAnsi="宋体" w:cs="宋体"/>
          <w:sz w:val="24"/>
          <w:highlight w:val="none"/>
        </w:rPr>
      </w:pPr>
      <w:r>
        <w:rPr>
          <w:rFonts w:hint="eastAsia" w:ascii="宋体" w:hAnsi="宋体"/>
          <w:sz w:val="24"/>
          <w:highlight w:val="none"/>
        </w:rPr>
        <w:t xml:space="preserve">                                 日  期： </w:t>
      </w:r>
      <w:r>
        <w:rPr>
          <w:rFonts w:hint="eastAsia" w:ascii="宋体" w:hAnsi="宋体"/>
          <w:sz w:val="24"/>
          <w:highlight w:val="none"/>
          <w:u w:val="single"/>
        </w:rPr>
        <w:t xml:space="preserve">    </w:t>
      </w:r>
      <w:r>
        <w:rPr>
          <w:rFonts w:hint="eastAsia" w:ascii="宋体" w:hAnsi="宋体"/>
          <w:sz w:val="24"/>
          <w:highlight w:val="none"/>
        </w:rPr>
        <w:t xml:space="preserve">年 </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80" w:lineRule="exact"/>
        <w:rPr>
          <w:rFonts w:ascii="宋体" w:hAnsi="宋体" w:cs="宋体"/>
          <w:sz w:val="24"/>
          <w:highlight w:val="none"/>
        </w:rPr>
      </w:pPr>
    </w:p>
    <w:p>
      <w:pPr>
        <w:spacing w:line="380" w:lineRule="exact"/>
        <w:rPr>
          <w:rFonts w:ascii="宋体" w:hAnsi="宋体" w:cs="宋体"/>
          <w:sz w:val="24"/>
          <w:highlight w:val="none"/>
        </w:rPr>
      </w:pPr>
    </w:p>
    <w:p>
      <w:pPr>
        <w:spacing w:line="0" w:lineRule="atLeast"/>
        <w:rPr>
          <w:rFonts w:ascii="宋体" w:hAnsi="宋体"/>
          <w:b/>
          <w:sz w:val="36"/>
          <w:szCs w:val="20"/>
          <w:highlight w:val="none"/>
        </w:rPr>
        <w:sectPr>
          <w:headerReference r:id="rId6" w:type="default"/>
          <w:footerReference r:id="rId7" w:type="default"/>
          <w:footerReference r:id="rId8" w:type="even"/>
          <w:pgSz w:w="11907" w:h="16840"/>
          <w:pgMar w:top="1077" w:right="1134" w:bottom="1021" w:left="1219" w:header="856" w:footer="992" w:gutter="0"/>
          <w:cols w:space="720" w:num="1"/>
          <w:docGrid w:type="lines" w:linePitch="317" w:charSpace="0"/>
        </w:sectPr>
      </w:pPr>
    </w:p>
    <w:p>
      <w:pPr>
        <w:spacing w:after="120" w:afterLines="50"/>
        <w:jc w:val="center"/>
        <w:outlineLvl w:val="0"/>
        <w:rPr>
          <w:rFonts w:ascii="宋体" w:hAnsi="宋体" w:cs="宋体"/>
          <w:b/>
          <w:bCs/>
          <w:sz w:val="36"/>
          <w:szCs w:val="36"/>
          <w:highlight w:val="none"/>
        </w:rPr>
      </w:pPr>
      <w:bookmarkStart w:id="217" w:name="_Toc40254146"/>
      <w:bookmarkStart w:id="218" w:name="_Toc10915"/>
      <w:r>
        <w:rPr>
          <w:rFonts w:hint="eastAsia" w:ascii="宋体" w:hAnsi="宋体" w:cs="宋体"/>
          <w:b/>
          <w:sz w:val="36"/>
          <w:szCs w:val="36"/>
          <w:highlight w:val="none"/>
        </w:rPr>
        <w:t xml:space="preserve">2  </w:t>
      </w:r>
      <w:r>
        <w:rPr>
          <w:rFonts w:hint="eastAsia" w:ascii="宋体" w:hAnsi="宋体" w:cs="宋体"/>
          <w:b/>
          <w:bCs/>
          <w:sz w:val="36"/>
          <w:szCs w:val="36"/>
          <w:highlight w:val="none"/>
        </w:rPr>
        <w:t>开标一览表</w:t>
      </w:r>
      <w:bookmarkEnd w:id="217"/>
      <w:bookmarkEnd w:id="218"/>
      <w:r>
        <w:rPr>
          <w:rFonts w:hint="eastAsia" w:ascii="宋体" w:hAnsi="宋体" w:cs="宋体"/>
          <w:b/>
          <w:bCs/>
          <w:sz w:val="36"/>
          <w:szCs w:val="36"/>
          <w:highlight w:val="none"/>
        </w:rPr>
        <w:t xml:space="preserve"> </w:t>
      </w:r>
    </w:p>
    <w:p>
      <w:pPr>
        <w:jc w:val="center"/>
        <w:rPr>
          <w:rFonts w:ascii="宋体" w:hAnsi="宋体"/>
          <w:b/>
          <w:bCs/>
          <w:sz w:val="28"/>
          <w:szCs w:val="28"/>
          <w:highlight w:val="none"/>
          <w:vertAlign w:val="superscript"/>
        </w:rPr>
      </w:pPr>
      <w:r>
        <w:rPr>
          <w:rFonts w:hint="eastAsia" w:ascii="宋体" w:hAnsi="宋体"/>
          <w:b/>
          <w:bCs/>
          <w:sz w:val="28"/>
          <w:highlight w:val="none"/>
        </w:rPr>
        <w:t xml:space="preserve">                      </w:t>
      </w:r>
    </w:p>
    <w:p>
      <w:pPr>
        <w:ind w:firstLine="240" w:firstLineChars="100"/>
        <w:rPr>
          <w:rFonts w:ascii="宋体" w:hAnsi="宋体"/>
          <w:sz w:val="24"/>
          <w:highlight w:val="none"/>
        </w:rPr>
      </w:pPr>
      <w:r>
        <w:rPr>
          <w:rFonts w:hint="eastAsia" w:ascii="宋体" w:hAnsi="宋体"/>
          <w:sz w:val="24"/>
          <w:highlight w:val="none"/>
        </w:rPr>
        <w:t>投标人名称(加盖公章)：                              招标编号：                                  货币单位：</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712"/>
        <w:gridCol w:w="1252"/>
        <w:gridCol w:w="2663"/>
        <w:gridCol w:w="2053"/>
        <w:gridCol w:w="205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合同包</w:t>
            </w:r>
          </w:p>
        </w:tc>
        <w:tc>
          <w:tcPr>
            <w:tcW w:w="27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项目名称</w:t>
            </w:r>
          </w:p>
        </w:tc>
        <w:tc>
          <w:tcPr>
            <w:tcW w:w="12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数量</w:t>
            </w:r>
          </w:p>
        </w:tc>
        <w:tc>
          <w:tcPr>
            <w:tcW w:w="26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投标总报价(小写)</w:t>
            </w:r>
          </w:p>
        </w:tc>
        <w:tc>
          <w:tcPr>
            <w:tcW w:w="20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服务期限</w:t>
            </w:r>
          </w:p>
        </w:tc>
        <w:tc>
          <w:tcPr>
            <w:tcW w:w="20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投标保证金</w:t>
            </w:r>
          </w:p>
        </w:tc>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p>
        </w:tc>
        <w:tc>
          <w:tcPr>
            <w:tcW w:w="27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p>
        </w:tc>
        <w:tc>
          <w:tcPr>
            <w:tcW w:w="12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p>
        </w:tc>
        <w:tc>
          <w:tcPr>
            <w:tcW w:w="26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p>
        </w:tc>
        <w:tc>
          <w:tcPr>
            <w:tcW w:w="20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p>
        </w:tc>
        <w:tc>
          <w:tcPr>
            <w:tcW w:w="20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p>
        </w:tc>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171" w:type="dxa"/>
            <w:gridSpan w:val="2"/>
            <w:tcBorders>
              <w:top w:val="single" w:color="auto" w:sz="4" w:space="0"/>
              <w:left w:val="single" w:color="auto" w:sz="4" w:space="0"/>
              <w:bottom w:val="single" w:color="auto" w:sz="4" w:space="0"/>
              <w:right w:val="single" w:color="auto" w:sz="4" w:space="0"/>
            </w:tcBorders>
            <w:vAlign w:val="center"/>
          </w:tcPr>
          <w:p>
            <w:pPr>
              <w:ind w:firstLine="210"/>
              <w:jc w:val="center"/>
              <w:rPr>
                <w:rFonts w:ascii="宋体" w:hAnsi="宋体"/>
                <w:sz w:val="24"/>
                <w:highlight w:val="none"/>
              </w:rPr>
            </w:pPr>
            <w:r>
              <w:rPr>
                <w:rFonts w:hint="eastAsia" w:ascii="宋体" w:hAnsi="宋体"/>
                <w:sz w:val="24"/>
                <w:highlight w:val="none"/>
              </w:rPr>
              <w:t>投标总价</w:t>
            </w:r>
          </w:p>
        </w:tc>
        <w:tc>
          <w:tcPr>
            <w:tcW w:w="1007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highlight w:val="none"/>
              </w:rPr>
            </w:pPr>
            <w:r>
              <w:rPr>
                <w:rFonts w:hint="eastAsia" w:ascii="宋体" w:hAnsi="宋体"/>
                <w:sz w:val="24"/>
                <w:highlight w:val="none"/>
              </w:rPr>
              <w:t>大写：                                                   小写：￥</w:t>
            </w:r>
          </w:p>
        </w:tc>
      </w:tr>
    </w:tbl>
    <w:p>
      <w:pPr>
        <w:adjustRightInd w:val="0"/>
        <w:spacing w:before="120" w:beforeLines="50" w:line="240" w:lineRule="exact"/>
        <w:ind w:firstLine="210" w:firstLineChars="100"/>
        <w:rPr>
          <w:rFonts w:ascii="宋体" w:hAnsi="宋体"/>
          <w:sz w:val="18"/>
          <w:szCs w:val="18"/>
          <w:highlight w:val="none"/>
        </w:rPr>
      </w:pPr>
      <w:r>
        <w:rPr>
          <w:rFonts w:hint="eastAsia" w:ascii="宋体" w:hAnsi="宋体"/>
          <w:szCs w:val="21"/>
          <w:highlight w:val="none"/>
        </w:rPr>
        <w:t>注</w:t>
      </w:r>
      <w:r>
        <w:rPr>
          <w:rFonts w:hint="eastAsia" w:ascii="宋体" w:hAnsi="宋体"/>
          <w:sz w:val="24"/>
          <w:highlight w:val="none"/>
        </w:rPr>
        <w:t>:1.此表正本和保证金凭证必须在投标文件正本之外用信封单独密封，并在信封上标明“开标一览表”字样。</w:t>
      </w:r>
    </w:p>
    <w:p>
      <w:pPr>
        <w:spacing w:line="380" w:lineRule="exact"/>
        <w:ind w:right="480" w:firstLine="360" w:firstLineChars="150"/>
        <w:rPr>
          <w:rFonts w:ascii="宋体" w:hAnsi="宋体"/>
          <w:sz w:val="24"/>
          <w:highlight w:val="none"/>
        </w:rPr>
      </w:pPr>
      <w:r>
        <w:rPr>
          <w:rFonts w:hint="eastAsia" w:ascii="宋体" w:hAnsi="宋体"/>
          <w:sz w:val="24"/>
          <w:highlight w:val="none"/>
        </w:rPr>
        <w:t xml:space="preserve">   </w:t>
      </w:r>
    </w:p>
    <w:p>
      <w:pPr>
        <w:spacing w:line="380" w:lineRule="exact"/>
        <w:ind w:right="480" w:firstLine="360" w:firstLineChars="150"/>
        <w:rPr>
          <w:rFonts w:ascii="宋体" w:hAnsi="宋体"/>
          <w:sz w:val="24"/>
          <w:highlight w:val="none"/>
        </w:rPr>
      </w:pPr>
      <w:r>
        <w:rPr>
          <w:rFonts w:hint="eastAsia" w:ascii="宋体" w:hAnsi="宋体"/>
          <w:sz w:val="24"/>
          <w:highlight w:val="none"/>
        </w:rPr>
        <w:t xml:space="preserve">  </w:t>
      </w:r>
    </w:p>
    <w:p>
      <w:pPr>
        <w:spacing w:line="380" w:lineRule="exact"/>
        <w:ind w:right="480" w:firstLine="7800" w:firstLineChars="3250"/>
        <w:rPr>
          <w:rFonts w:ascii="宋体" w:hAnsi="宋体"/>
          <w:sz w:val="24"/>
          <w:highlight w:val="none"/>
        </w:rPr>
      </w:pPr>
    </w:p>
    <w:p>
      <w:pPr>
        <w:spacing w:line="380" w:lineRule="exact"/>
        <w:ind w:right="480" w:firstLine="7800" w:firstLineChars="3250"/>
        <w:rPr>
          <w:rFonts w:ascii="宋体" w:hAnsi="宋体"/>
          <w:sz w:val="24"/>
          <w:highlight w:val="none"/>
        </w:rPr>
      </w:pPr>
    </w:p>
    <w:p>
      <w:pPr>
        <w:spacing w:line="380" w:lineRule="exact"/>
        <w:ind w:right="480" w:firstLine="7800" w:firstLineChars="3250"/>
        <w:rPr>
          <w:rFonts w:ascii="宋体" w:hAnsi="宋体"/>
          <w:sz w:val="24"/>
          <w:highlight w:val="none"/>
        </w:rPr>
      </w:pPr>
    </w:p>
    <w:p>
      <w:pPr>
        <w:spacing w:line="380" w:lineRule="exact"/>
        <w:ind w:right="480" w:firstLine="7800" w:firstLineChars="3250"/>
        <w:rPr>
          <w:rFonts w:ascii="宋体" w:hAnsi="宋体"/>
          <w:sz w:val="24"/>
          <w:highlight w:val="none"/>
          <w:u w:val="single"/>
        </w:rPr>
      </w:pPr>
      <w:r>
        <w:rPr>
          <w:rFonts w:hint="eastAsia" w:ascii="宋体" w:hAnsi="宋体"/>
          <w:sz w:val="24"/>
          <w:highlight w:val="none"/>
        </w:rPr>
        <w:t xml:space="preserve">投标人代表签字： </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 xml:space="preserve">                                                                 投标人（全称并加盖公章）：</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exact"/>
        <w:ind w:firstLine="5160" w:firstLineChars="2150"/>
        <w:rPr>
          <w:rFonts w:ascii="宋体" w:hAnsi="宋体"/>
          <w:sz w:val="24"/>
          <w:highlight w:val="none"/>
        </w:rPr>
      </w:pPr>
      <w:r>
        <w:rPr>
          <w:rFonts w:hint="eastAsia" w:ascii="宋体" w:hAnsi="宋体"/>
          <w:sz w:val="24"/>
          <w:highlight w:val="none"/>
        </w:rPr>
        <w:t xml:space="preserve">                      日  期： </w:t>
      </w:r>
      <w:r>
        <w:rPr>
          <w:rFonts w:hint="eastAsia" w:ascii="宋体" w:hAnsi="宋体"/>
          <w:sz w:val="24"/>
          <w:highlight w:val="none"/>
          <w:u w:val="single"/>
        </w:rPr>
        <w:t xml:space="preserve">    </w:t>
      </w:r>
      <w:r>
        <w:rPr>
          <w:rFonts w:hint="eastAsia" w:ascii="宋体" w:hAnsi="宋体"/>
          <w:sz w:val="24"/>
          <w:highlight w:val="none"/>
        </w:rPr>
        <w:t xml:space="preserve">年 </w:t>
      </w:r>
      <w:r>
        <w:rPr>
          <w:rFonts w:hint="eastAsia" w:ascii="宋体" w:hAnsi="宋体"/>
          <w:sz w:val="24"/>
          <w:highlight w:val="none"/>
          <w:u w:val="single"/>
        </w:rPr>
        <w:t xml:space="preserve">   </w:t>
      </w:r>
      <w:r>
        <w:rPr>
          <w:rFonts w:hint="eastAsia" w:ascii="宋体" w:hAnsi="宋体"/>
          <w:sz w:val="24"/>
          <w:highlight w:val="none"/>
        </w:rPr>
        <w:t xml:space="preserve">月 </w:t>
      </w:r>
      <w:r>
        <w:rPr>
          <w:rFonts w:hint="eastAsia" w:ascii="宋体" w:hAnsi="宋体"/>
          <w:sz w:val="24"/>
          <w:highlight w:val="none"/>
          <w:u w:val="single"/>
        </w:rPr>
        <w:t xml:space="preserve">   </w:t>
      </w:r>
      <w:r>
        <w:rPr>
          <w:rFonts w:hint="eastAsia" w:ascii="宋体" w:hAnsi="宋体"/>
          <w:sz w:val="24"/>
          <w:highlight w:val="none"/>
        </w:rPr>
        <w:t>日</w:t>
      </w:r>
    </w:p>
    <w:p>
      <w:pPr>
        <w:rPr>
          <w:highlight w:val="none"/>
        </w:rPr>
      </w:pPr>
    </w:p>
    <w:p>
      <w:pPr>
        <w:rPr>
          <w:highlight w:val="none"/>
        </w:rPr>
      </w:pPr>
    </w:p>
    <w:p>
      <w:pPr>
        <w:rPr>
          <w:highlight w:val="none"/>
        </w:rPr>
      </w:pPr>
    </w:p>
    <w:p>
      <w:pPr>
        <w:rPr>
          <w:highlight w:val="none"/>
        </w:rPr>
      </w:pPr>
    </w:p>
    <w:p>
      <w:pPr>
        <w:spacing w:line="0" w:lineRule="atLeast"/>
        <w:jc w:val="center"/>
        <w:rPr>
          <w:rFonts w:ascii="宋体" w:hAnsi="宋体" w:cs="宋体"/>
          <w:b/>
          <w:sz w:val="24"/>
          <w:szCs w:val="20"/>
          <w:highlight w:val="none"/>
        </w:rPr>
        <w:sectPr>
          <w:pgSz w:w="16840" w:h="11907" w:orient="landscape"/>
          <w:pgMar w:top="1134" w:right="1021" w:bottom="1219" w:left="1077" w:header="856" w:footer="992" w:gutter="0"/>
          <w:cols w:space="720" w:num="1"/>
          <w:docGrid w:linePitch="317" w:charSpace="0"/>
        </w:sectPr>
      </w:pPr>
    </w:p>
    <w:p>
      <w:pPr>
        <w:tabs>
          <w:tab w:val="left" w:pos="900"/>
        </w:tabs>
        <w:spacing w:line="430" w:lineRule="exact"/>
        <w:jc w:val="center"/>
        <w:outlineLvl w:val="0"/>
        <w:rPr>
          <w:rFonts w:ascii="宋体" w:hAnsi="宋体"/>
          <w:spacing w:val="-4"/>
          <w:sz w:val="36"/>
          <w:szCs w:val="36"/>
          <w:highlight w:val="none"/>
        </w:rPr>
      </w:pPr>
      <w:bookmarkStart w:id="219" w:name="_Toc25035"/>
      <w:bookmarkStart w:id="220" w:name="_Toc40254147"/>
      <w:r>
        <w:rPr>
          <w:rFonts w:hint="eastAsia" w:ascii="宋体" w:hAnsi="宋体"/>
          <w:b/>
          <w:sz w:val="36"/>
          <w:szCs w:val="36"/>
          <w:highlight w:val="none"/>
        </w:rPr>
        <w:t xml:space="preserve">3  </w:t>
      </w:r>
      <w:r>
        <w:rPr>
          <w:rFonts w:hint="eastAsia" w:ascii="宋体" w:hAnsi="宋体"/>
          <w:b/>
          <w:bCs/>
          <w:sz w:val="36"/>
          <w:szCs w:val="36"/>
          <w:highlight w:val="none"/>
          <w:lang w:val="zh-CN"/>
        </w:rPr>
        <w:t>投标分项报价表</w:t>
      </w:r>
      <w:bookmarkEnd w:id="219"/>
      <w:bookmarkEnd w:id="220"/>
    </w:p>
    <w:p>
      <w:pPr>
        <w:pStyle w:val="19"/>
        <w:spacing w:line="440" w:lineRule="exact"/>
        <w:ind w:right="84" w:rightChars="40"/>
        <w:rPr>
          <w:rFonts w:hAnsi="宋体"/>
          <w:b/>
          <w:sz w:val="30"/>
          <w:szCs w:val="30"/>
          <w:highlight w:val="none"/>
          <w:vertAlign w:val="superscript"/>
        </w:rPr>
      </w:pPr>
    </w:p>
    <w:p>
      <w:pPr>
        <w:rPr>
          <w:rFonts w:ascii="宋体" w:hAnsi="宋体"/>
          <w:szCs w:val="21"/>
          <w:highlight w:val="none"/>
        </w:rPr>
      </w:pPr>
      <w:r>
        <w:rPr>
          <w:rFonts w:hint="eastAsia" w:ascii="宋体" w:hAnsi="宋体"/>
          <w:szCs w:val="21"/>
          <w:highlight w:val="none"/>
        </w:rPr>
        <w:t>投标人名称:                   招标编号:                  货币单位:</w:t>
      </w:r>
    </w:p>
    <w:tbl>
      <w:tblPr>
        <w:tblStyle w:val="33"/>
        <w:tblW w:w="9752" w:type="dxa"/>
        <w:tblInd w:w="0" w:type="dxa"/>
        <w:tblLayout w:type="autofit"/>
        <w:tblCellMar>
          <w:top w:w="0" w:type="dxa"/>
          <w:left w:w="0" w:type="dxa"/>
          <w:bottom w:w="0" w:type="dxa"/>
          <w:right w:w="0" w:type="dxa"/>
        </w:tblCellMar>
      </w:tblPr>
      <w:tblGrid>
        <w:gridCol w:w="608"/>
        <w:gridCol w:w="1290"/>
        <w:gridCol w:w="2068"/>
        <w:gridCol w:w="2061"/>
        <w:gridCol w:w="769"/>
        <w:gridCol w:w="996"/>
        <w:gridCol w:w="886"/>
        <w:gridCol w:w="94"/>
        <w:gridCol w:w="980"/>
      </w:tblGrid>
      <w:tr>
        <w:tblPrEx>
          <w:tblCellMar>
            <w:top w:w="0" w:type="dxa"/>
            <w:left w:w="0" w:type="dxa"/>
            <w:bottom w:w="0" w:type="dxa"/>
            <w:right w:w="0" w:type="dxa"/>
          </w:tblCellMar>
        </w:tblPrEx>
        <w:trPr>
          <w:trHeight w:val="353" w:hRule="atLeast"/>
        </w:trPr>
        <w:tc>
          <w:tcPr>
            <w:tcW w:w="6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序号</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项目编码</w:t>
            </w:r>
          </w:p>
        </w:tc>
        <w:tc>
          <w:tcPr>
            <w:tcW w:w="20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项目名称</w:t>
            </w:r>
          </w:p>
        </w:tc>
        <w:tc>
          <w:tcPr>
            <w:tcW w:w="20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项目特征描述</w:t>
            </w:r>
          </w:p>
        </w:tc>
        <w:tc>
          <w:tcPr>
            <w:tcW w:w="7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计量单位</w:t>
            </w:r>
          </w:p>
        </w:tc>
        <w:tc>
          <w:tcPr>
            <w:tcW w:w="99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工程量</w:t>
            </w:r>
          </w:p>
        </w:tc>
        <w:tc>
          <w:tcPr>
            <w:tcW w:w="19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r>
              <w:rPr>
                <w:rFonts w:hint="eastAsia" w:ascii="宋体" w:hAnsi="宋体" w:cs="宋体"/>
                <w:kern w:val="0"/>
                <w:sz w:val="20"/>
                <w:szCs w:val="20"/>
                <w:highlight w:val="none"/>
              </w:rPr>
              <w:t>金    额(元)</w:t>
            </w:r>
          </w:p>
        </w:tc>
      </w:tr>
      <w:tr>
        <w:tblPrEx>
          <w:tblCellMar>
            <w:top w:w="0" w:type="dxa"/>
            <w:left w:w="0" w:type="dxa"/>
            <w:bottom w:w="0" w:type="dxa"/>
            <w:right w:w="0" w:type="dxa"/>
          </w:tblCellMar>
        </w:tblPrEx>
        <w:trPr>
          <w:trHeight w:val="353" w:hRule="atLeast"/>
        </w:trPr>
        <w:tc>
          <w:tcPr>
            <w:tcW w:w="6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0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20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7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9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highlight w:val="none"/>
              </w:rPr>
            </w:pP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 w:val="20"/>
                <w:szCs w:val="20"/>
                <w:highlight w:val="none"/>
              </w:rPr>
              <w:t>综合单价</w:t>
            </w:r>
          </w:p>
        </w:tc>
        <w:tc>
          <w:tcPr>
            <w:tcW w:w="10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 w:val="20"/>
                <w:szCs w:val="20"/>
                <w:highlight w:val="none"/>
              </w:rPr>
              <w:t>合价</w:t>
            </w: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bCs/>
                <w:kern w:val="0"/>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bCs/>
                <w:kern w:val="0"/>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bCs/>
                <w:kern w:val="0"/>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 w:val="18"/>
                <w:szCs w:val="18"/>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r>
        <w:tblPrEx>
          <w:tblCellMar>
            <w:top w:w="0" w:type="dxa"/>
            <w:left w:w="0" w:type="dxa"/>
            <w:bottom w:w="0" w:type="dxa"/>
            <w:right w:w="0" w:type="dxa"/>
          </w:tblCellMar>
        </w:tblPrEx>
        <w:trPr>
          <w:trHeight w:val="482" w:hRule="atLeast"/>
        </w:trPr>
        <w:tc>
          <w:tcPr>
            <w:tcW w:w="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Cs w:val="21"/>
                <w:highlight w:val="none"/>
              </w:rPr>
            </w:pPr>
          </w:p>
        </w:tc>
        <w:tc>
          <w:tcPr>
            <w:tcW w:w="20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kern w:val="0"/>
                <w:szCs w:val="21"/>
                <w:highlight w:val="none"/>
              </w:rPr>
            </w:pPr>
          </w:p>
        </w:tc>
        <w:tc>
          <w:tcPr>
            <w:tcW w:w="2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Cs w:val="21"/>
                <w:highlight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highlight w:val="none"/>
              </w:rPr>
            </w:pPr>
          </w:p>
        </w:tc>
        <w:tc>
          <w:tcPr>
            <w:tcW w:w="9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kern w:val="0"/>
                <w:szCs w:val="21"/>
                <w:highlight w:val="none"/>
              </w:rPr>
            </w:pPr>
          </w:p>
        </w:tc>
      </w:tr>
    </w:tbl>
    <w:p>
      <w:pPr>
        <w:rPr>
          <w:rFonts w:ascii="宋体" w:hAnsi="宋体"/>
          <w:sz w:val="24"/>
          <w:highlight w:val="none"/>
        </w:rPr>
      </w:pPr>
      <w:r>
        <w:rPr>
          <w:rFonts w:hint="eastAsia" w:ascii="宋体" w:hAnsi="宋体"/>
          <w:szCs w:val="21"/>
          <w:highlight w:val="none"/>
        </w:rPr>
        <w:t>注： 1、</w:t>
      </w:r>
      <w:r>
        <w:rPr>
          <w:rFonts w:hint="eastAsia" w:ascii="宋体" w:hAnsi="宋体" w:cs="宋体"/>
          <w:kern w:val="0"/>
          <w:sz w:val="24"/>
          <w:highlight w:val="none"/>
        </w:rPr>
        <w:t>此表投标总价若与开标一览表有出入，以开标一览表投标总</w:t>
      </w:r>
      <w:r>
        <w:rPr>
          <w:rFonts w:hint="eastAsia" w:ascii="宋体" w:hAnsi="宋体"/>
          <w:sz w:val="24"/>
          <w:highlight w:val="none"/>
        </w:rPr>
        <w:t>价</w:t>
      </w:r>
      <w:r>
        <w:rPr>
          <w:rFonts w:hint="eastAsia" w:ascii="宋体" w:hAnsi="宋体" w:cs="宋体"/>
          <w:kern w:val="0"/>
          <w:sz w:val="24"/>
          <w:highlight w:val="none"/>
        </w:rPr>
        <w:t>为准。</w:t>
      </w:r>
    </w:p>
    <w:p>
      <w:pPr>
        <w:rPr>
          <w:highlight w:val="none"/>
        </w:rPr>
      </w:pPr>
    </w:p>
    <w:p>
      <w:pPr>
        <w:rPr>
          <w:highlight w:val="none"/>
        </w:rPr>
      </w:pPr>
    </w:p>
    <w:p>
      <w:pPr>
        <w:spacing w:line="380" w:lineRule="exact"/>
        <w:ind w:right="480"/>
        <w:rPr>
          <w:rFonts w:ascii="宋体" w:hAnsi="宋体"/>
          <w:sz w:val="24"/>
          <w:highlight w:val="none"/>
          <w:u w:val="single"/>
        </w:rPr>
      </w:pPr>
      <w:r>
        <w:rPr>
          <w:rFonts w:hint="eastAsia" w:ascii="宋体" w:hAnsi="宋体"/>
          <w:sz w:val="24"/>
          <w:highlight w:val="none"/>
        </w:rPr>
        <w:t xml:space="preserve">投标人代表签字： </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投标人（全称并加盖公章）：</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exact"/>
        <w:rPr>
          <w:rFonts w:ascii="宋体" w:hAnsi="宋体"/>
          <w:sz w:val="24"/>
          <w:highlight w:val="none"/>
        </w:rPr>
      </w:pPr>
      <w:r>
        <w:rPr>
          <w:rFonts w:hint="eastAsia" w:ascii="宋体" w:hAnsi="宋体"/>
          <w:sz w:val="24"/>
          <w:highlight w:val="none"/>
        </w:rPr>
        <w:t xml:space="preserve">日  期： </w:t>
      </w:r>
      <w:r>
        <w:rPr>
          <w:rFonts w:hint="eastAsia" w:ascii="宋体" w:hAnsi="宋体"/>
          <w:sz w:val="24"/>
          <w:highlight w:val="none"/>
          <w:u w:val="single"/>
        </w:rPr>
        <w:t xml:space="preserve">    </w:t>
      </w:r>
      <w:r>
        <w:rPr>
          <w:rFonts w:hint="eastAsia" w:ascii="宋体" w:hAnsi="宋体"/>
          <w:sz w:val="24"/>
          <w:highlight w:val="none"/>
        </w:rPr>
        <w:t xml:space="preserve">年 </w:t>
      </w:r>
      <w:r>
        <w:rPr>
          <w:rFonts w:hint="eastAsia" w:ascii="宋体" w:hAnsi="宋体"/>
          <w:sz w:val="24"/>
          <w:highlight w:val="none"/>
          <w:u w:val="single"/>
        </w:rPr>
        <w:t xml:space="preserve">   </w:t>
      </w:r>
      <w:r>
        <w:rPr>
          <w:rFonts w:hint="eastAsia" w:ascii="宋体" w:hAnsi="宋体"/>
          <w:sz w:val="24"/>
          <w:highlight w:val="none"/>
        </w:rPr>
        <w:t xml:space="preserve">月 </w:t>
      </w:r>
      <w:r>
        <w:rPr>
          <w:rFonts w:hint="eastAsia" w:ascii="宋体" w:hAnsi="宋体"/>
          <w:sz w:val="24"/>
          <w:highlight w:val="none"/>
          <w:u w:val="single"/>
        </w:rPr>
        <w:t xml:space="preserve">   </w:t>
      </w:r>
      <w:r>
        <w:rPr>
          <w:rFonts w:hint="eastAsia" w:ascii="宋体" w:hAnsi="宋体"/>
          <w:sz w:val="24"/>
          <w:highlight w:val="none"/>
        </w:rPr>
        <w:t>日</w:t>
      </w:r>
    </w:p>
    <w:p>
      <w:pPr>
        <w:pStyle w:val="2"/>
        <w:rPr>
          <w:highlight w:val="none"/>
        </w:rPr>
      </w:pPr>
    </w:p>
    <w:p>
      <w:pPr>
        <w:pStyle w:val="3"/>
        <w:rPr>
          <w:highlight w:val="none"/>
        </w:rPr>
      </w:pPr>
    </w:p>
    <w:p>
      <w:pPr>
        <w:tabs>
          <w:tab w:val="left" w:pos="900"/>
        </w:tabs>
        <w:spacing w:line="430" w:lineRule="exact"/>
        <w:jc w:val="center"/>
        <w:outlineLvl w:val="0"/>
        <w:rPr>
          <w:rFonts w:ascii="宋体" w:hAnsi="宋体"/>
          <w:b/>
          <w:bCs/>
          <w:sz w:val="36"/>
          <w:szCs w:val="36"/>
          <w:highlight w:val="none"/>
          <w:lang w:val="zh-CN"/>
        </w:rPr>
      </w:pPr>
      <w:bookmarkStart w:id="221" w:name="_Toc40254148"/>
      <w:bookmarkStart w:id="222" w:name="_Toc16644"/>
      <w:r>
        <w:rPr>
          <w:rFonts w:hint="eastAsia" w:ascii="宋体" w:hAnsi="宋体"/>
          <w:b/>
          <w:sz w:val="36"/>
          <w:szCs w:val="36"/>
          <w:highlight w:val="none"/>
        </w:rPr>
        <w:t xml:space="preserve">4  </w:t>
      </w:r>
      <w:r>
        <w:rPr>
          <w:rFonts w:hint="eastAsia" w:ascii="宋体" w:hAnsi="宋体"/>
          <w:b/>
          <w:bCs/>
          <w:sz w:val="36"/>
          <w:szCs w:val="36"/>
          <w:highlight w:val="none"/>
          <w:lang w:val="zh-CN"/>
        </w:rPr>
        <w:t>货物说明一览表</w:t>
      </w:r>
      <w:bookmarkEnd w:id="221"/>
      <w:bookmarkEnd w:id="222"/>
    </w:p>
    <w:p>
      <w:pPr>
        <w:pStyle w:val="2"/>
        <w:jc w:val="center"/>
        <w:rPr>
          <w:b/>
          <w:sz w:val="24"/>
          <w:highlight w:val="none"/>
          <w:lang w:val="zh-CN"/>
        </w:rPr>
      </w:pPr>
      <w:r>
        <w:rPr>
          <w:rFonts w:hint="eastAsia"/>
          <w:b/>
          <w:sz w:val="24"/>
          <w:highlight w:val="none"/>
          <w:lang w:val="zh-CN"/>
        </w:rPr>
        <w:t>（按投标货物合同包下品目类别分别填写）</w:t>
      </w:r>
    </w:p>
    <w:p>
      <w:pPr>
        <w:pStyle w:val="3"/>
        <w:rPr>
          <w:highlight w:val="none"/>
        </w:rPr>
      </w:pPr>
    </w:p>
    <w:p>
      <w:pPr>
        <w:pStyle w:val="3"/>
        <w:rPr>
          <w:highlight w:val="none"/>
        </w:rPr>
      </w:pPr>
      <w:r>
        <w:rPr>
          <w:rFonts w:hint="eastAsia"/>
          <w:highlight w:val="none"/>
        </w:rPr>
        <w:t xml:space="preserve">投标人名称： </w:t>
      </w:r>
      <w:r>
        <w:rPr>
          <w:highlight w:val="none"/>
        </w:rPr>
        <w:t xml:space="preserve">                  </w:t>
      </w:r>
      <w:r>
        <w:rPr>
          <w:rFonts w:hint="eastAsia"/>
          <w:highlight w:val="none"/>
        </w:rPr>
        <w:t>招标编号：</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10"/>
        <w:gridCol w:w="1210"/>
        <w:gridCol w:w="1210"/>
        <w:gridCol w:w="1211"/>
        <w:gridCol w:w="1211"/>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tcPr>
          <w:p>
            <w:pPr>
              <w:pStyle w:val="3"/>
              <w:rPr>
                <w:highlight w:val="none"/>
              </w:rPr>
            </w:pPr>
            <w:r>
              <w:rPr>
                <w:rFonts w:hint="eastAsia"/>
                <w:highlight w:val="none"/>
              </w:rPr>
              <w:t>合同包号</w:t>
            </w:r>
          </w:p>
        </w:tc>
        <w:tc>
          <w:tcPr>
            <w:tcW w:w="1210" w:type="dxa"/>
          </w:tcPr>
          <w:p>
            <w:pPr>
              <w:pStyle w:val="3"/>
              <w:rPr>
                <w:highlight w:val="none"/>
              </w:rPr>
            </w:pPr>
          </w:p>
        </w:tc>
        <w:tc>
          <w:tcPr>
            <w:tcW w:w="1210" w:type="dxa"/>
          </w:tcPr>
          <w:p>
            <w:pPr>
              <w:pStyle w:val="3"/>
              <w:rPr>
                <w:highlight w:val="none"/>
              </w:rPr>
            </w:pPr>
            <w:r>
              <w:rPr>
                <w:rFonts w:hint="eastAsia"/>
                <w:highlight w:val="none"/>
              </w:rPr>
              <w:t>货物名称</w:t>
            </w:r>
          </w:p>
        </w:tc>
        <w:tc>
          <w:tcPr>
            <w:tcW w:w="1210" w:type="dxa"/>
          </w:tcPr>
          <w:p>
            <w:pPr>
              <w:pStyle w:val="3"/>
              <w:rPr>
                <w:highlight w:val="none"/>
              </w:rPr>
            </w:pPr>
          </w:p>
        </w:tc>
        <w:tc>
          <w:tcPr>
            <w:tcW w:w="1211" w:type="dxa"/>
          </w:tcPr>
          <w:p>
            <w:pPr>
              <w:pStyle w:val="3"/>
              <w:rPr>
                <w:highlight w:val="none"/>
              </w:rPr>
            </w:pPr>
            <w:r>
              <w:rPr>
                <w:rFonts w:hint="eastAsia"/>
                <w:highlight w:val="none"/>
              </w:rPr>
              <w:t>型号规格</w:t>
            </w:r>
          </w:p>
        </w:tc>
        <w:tc>
          <w:tcPr>
            <w:tcW w:w="1211" w:type="dxa"/>
          </w:tcPr>
          <w:p>
            <w:pPr>
              <w:pStyle w:val="3"/>
              <w:rPr>
                <w:highlight w:val="none"/>
              </w:rPr>
            </w:pPr>
          </w:p>
        </w:tc>
        <w:tc>
          <w:tcPr>
            <w:tcW w:w="1211" w:type="dxa"/>
          </w:tcPr>
          <w:p>
            <w:pPr>
              <w:pStyle w:val="3"/>
              <w:rPr>
                <w:highlight w:val="none"/>
              </w:rPr>
            </w:pPr>
            <w:r>
              <w:rPr>
                <w:rFonts w:hint="eastAsia"/>
                <w:highlight w:val="none"/>
              </w:rPr>
              <w:t>数量</w:t>
            </w:r>
          </w:p>
        </w:tc>
        <w:tc>
          <w:tcPr>
            <w:tcW w:w="1211" w:type="dxa"/>
          </w:tcPr>
          <w:p>
            <w:pPr>
              <w:pStyle w:val="3"/>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4" w:hRule="atLeast"/>
        </w:trPr>
        <w:tc>
          <w:tcPr>
            <w:tcW w:w="9684" w:type="dxa"/>
            <w:gridSpan w:val="8"/>
          </w:tcPr>
          <w:p>
            <w:pPr>
              <w:pStyle w:val="3"/>
              <w:rPr>
                <w:highlight w:val="none"/>
              </w:rPr>
            </w:pPr>
          </w:p>
        </w:tc>
      </w:tr>
    </w:tbl>
    <w:p>
      <w:pPr>
        <w:spacing w:line="380" w:lineRule="exact"/>
        <w:ind w:right="480"/>
        <w:rPr>
          <w:rFonts w:ascii="宋体" w:hAnsi="宋体"/>
          <w:sz w:val="24"/>
          <w:highlight w:val="none"/>
          <w:u w:val="single"/>
        </w:rPr>
      </w:pPr>
      <w:r>
        <w:rPr>
          <w:rFonts w:hint="eastAsia" w:ascii="宋体" w:hAnsi="宋体"/>
          <w:sz w:val="24"/>
          <w:highlight w:val="none"/>
        </w:rPr>
        <w:t xml:space="preserve">投标人代表签字： </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投标人（全称并加盖公章）：</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exact"/>
        <w:rPr>
          <w:rFonts w:ascii="宋体" w:hAnsi="宋体"/>
          <w:sz w:val="24"/>
          <w:highlight w:val="none"/>
        </w:rPr>
      </w:pPr>
      <w:r>
        <w:rPr>
          <w:rFonts w:hint="eastAsia" w:ascii="宋体" w:hAnsi="宋体"/>
          <w:sz w:val="24"/>
          <w:highlight w:val="none"/>
        </w:rPr>
        <w:t xml:space="preserve">日  期： </w:t>
      </w:r>
      <w:r>
        <w:rPr>
          <w:rFonts w:hint="eastAsia" w:ascii="宋体" w:hAnsi="宋体"/>
          <w:sz w:val="24"/>
          <w:highlight w:val="none"/>
          <w:u w:val="single"/>
        </w:rPr>
        <w:t xml:space="preserve">    </w:t>
      </w:r>
      <w:r>
        <w:rPr>
          <w:rFonts w:hint="eastAsia" w:ascii="宋体" w:hAnsi="宋体"/>
          <w:sz w:val="24"/>
          <w:highlight w:val="none"/>
        </w:rPr>
        <w:t xml:space="preserve">年 </w:t>
      </w:r>
      <w:r>
        <w:rPr>
          <w:rFonts w:hint="eastAsia" w:ascii="宋体" w:hAnsi="宋体"/>
          <w:sz w:val="24"/>
          <w:highlight w:val="none"/>
          <w:u w:val="single"/>
        </w:rPr>
        <w:t xml:space="preserve">   </w:t>
      </w:r>
      <w:r>
        <w:rPr>
          <w:rFonts w:hint="eastAsia" w:ascii="宋体" w:hAnsi="宋体"/>
          <w:sz w:val="24"/>
          <w:highlight w:val="none"/>
        </w:rPr>
        <w:t xml:space="preserve">月 </w:t>
      </w:r>
      <w:r>
        <w:rPr>
          <w:rFonts w:hint="eastAsia" w:ascii="宋体" w:hAnsi="宋体"/>
          <w:sz w:val="24"/>
          <w:highlight w:val="none"/>
          <w:u w:val="single"/>
        </w:rPr>
        <w:t xml:space="preserve">   </w:t>
      </w:r>
      <w:r>
        <w:rPr>
          <w:rFonts w:hint="eastAsia" w:ascii="宋体" w:hAnsi="宋体"/>
          <w:sz w:val="24"/>
          <w:highlight w:val="none"/>
        </w:rPr>
        <w:t>日</w:t>
      </w:r>
    </w:p>
    <w:p>
      <w:pPr>
        <w:pStyle w:val="3"/>
        <w:rPr>
          <w:highlight w:val="none"/>
        </w:rPr>
      </w:pPr>
    </w:p>
    <w:p>
      <w:pPr>
        <w:pStyle w:val="3"/>
        <w:rPr>
          <w:highlight w:val="none"/>
        </w:rPr>
      </w:pPr>
    </w:p>
    <w:p>
      <w:pPr>
        <w:pStyle w:val="3"/>
        <w:rPr>
          <w:highlight w:val="none"/>
        </w:rPr>
      </w:pPr>
    </w:p>
    <w:p>
      <w:pPr>
        <w:spacing w:line="0" w:lineRule="atLeast"/>
        <w:jc w:val="center"/>
        <w:outlineLvl w:val="0"/>
        <w:rPr>
          <w:rFonts w:ascii="宋体" w:hAnsi="宋体"/>
          <w:b/>
          <w:sz w:val="36"/>
          <w:szCs w:val="36"/>
          <w:highlight w:val="none"/>
        </w:rPr>
      </w:pPr>
      <w:bookmarkStart w:id="223" w:name="_Toc10121"/>
      <w:bookmarkStart w:id="224" w:name="_Toc40254149"/>
      <w:bookmarkStart w:id="225" w:name="_Toc19834"/>
      <w:r>
        <w:rPr>
          <w:rFonts w:hint="eastAsia" w:ascii="宋体" w:hAnsi="宋体"/>
          <w:b/>
          <w:sz w:val="36"/>
          <w:szCs w:val="36"/>
          <w:highlight w:val="none"/>
        </w:rPr>
        <w:t>5  货物内容和商务偏离表</w:t>
      </w:r>
      <w:bookmarkEnd w:id="223"/>
      <w:bookmarkEnd w:id="224"/>
      <w:bookmarkEnd w:id="225"/>
    </w:p>
    <w:p>
      <w:pPr>
        <w:spacing w:line="380" w:lineRule="exact"/>
        <w:jc w:val="center"/>
        <w:rPr>
          <w:rFonts w:ascii="宋体" w:hAnsi="宋体"/>
          <w:b/>
          <w:sz w:val="36"/>
          <w:highlight w:val="none"/>
        </w:rPr>
      </w:pPr>
    </w:p>
    <w:tbl>
      <w:tblPr>
        <w:tblStyle w:val="33"/>
        <w:tblpPr w:leftFromText="180" w:rightFromText="180" w:vertAnchor="text" w:horzAnchor="margin" w:tblpXSpec="center" w:tblpY="1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516"/>
        <w:gridCol w:w="1585"/>
        <w:gridCol w:w="1789"/>
        <w:gridCol w:w="1516"/>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220" w:type="dxa"/>
            <w:vAlign w:val="center"/>
          </w:tcPr>
          <w:p>
            <w:pPr>
              <w:spacing w:line="440" w:lineRule="exact"/>
              <w:rPr>
                <w:highlight w:val="none"/>
              </w:rPr>
            </w:pPr>
            <w:r>
              <w:rPr>
                <w:rFonts w:hint="eastAsia"/>
                <w:highlight w:val="none"/>
              </w:rPr>
              <w:t>合同包/品目号</w:t>
            </w:r>
          </w:p>
        </w:tc>
        <w:tc>
          <w:tcPr>
            <w:tcW w:w="1516" w:type="dxa"/>
            <w:vAlign w:val="center"/>
          </w:tcPr>
          <w:p>
            <w:pPr>
              <w:spacing w:line="440" w:lineRule="exact"/>
              <w:rPr>
                <w:highlight w:val="none"/>
              </w:rPr>
            </w:pPr>
            <w:r>
              <w:rPr>
                <w:rFonts w:hint="eastAsia"/>
                <w:highlight w:val="none"/>
              </w:rPr>
              <w:t>货物名称/内容</w:t>
            </w:r>
          </w:p>
        </w:tc>
        <w:tc>
          <w:tcPr>
            <w:tcW w:w="1585" w:type="dxa"/>
            <w:vAlign w:val="center"/>
          </w:tcPr>
          <w:p>
            <w:pPr>
              <w:spacing w:line="440" w:lineRule="exact"/>
              <w:rPr>
                <w:highlight w:val="none"/>
              </w:rPr>
            </w:pPr>
            <w:r>
              <w:rPr>
                <w:rFonts w:hint="eastAsia"/>
                <w:highlight w:val="none"/>
              </w:rPr>
              <w:t>规格条目号</w:t>
            </w:r>
          </w:p>
        </w:tc>
        <w:tc>
          <w:tcPr>
            <w:tcW w:w="1789" w:type="dxa"/>
            <w:vAlign w:val="center"/>
          </w:tcPr>
          <w:p>
            <w:pPr>
              <w:spacing w:line="440" w:lineRule="exact"/>
              <w:rPr>
                <w:highlight w:val="none"/>
              </w:rPr>
            </w:pPr>
            <w:r>
              <w:rPr>
                <w:rFonts w:hint="eastAsia"/>
                <w:highlight w:val="none"/>
              </w:rPr>
              <w:t>招标文件要求</w:t>
            </w:r>
          </w:p>
        </w:tc>
        <w:tc>
          <w:tcPr>
            <w:tcW w:w="1516" w:type="dxa"/>
            <w:vAlign w:val="center"/>
          </w:tcPr>
          <w:p>
            <w:pPr>
              <w:spacing w:line="440" w:lineRule="exact"/>
              <w:rPr>
                <w:highlight w:val="none"/>
              </w:rPr>
            </w:pPr>
            <w:r>
              <w:rPr>
                <w:rFonts w:hint="eastAsia"/>
                <w:highlight w:val="none"/>
              </w:rPr>
              <w:t>投标响应</w:t>
            </w:r>
          </w:p>
        </w:tc>
        <w:tc>
          <w:tcPr>
            <w:tcW w:w="1516" w:type="dxa"/>
            <w:vAlign w:val="center"/>
          </w:tcPr>
          <w:p>
            <w:pPr>
              <w:spacing w:line="440" w:lineRule="exact"/>
              <w:rPr>
                <w:highlight w:val="none"/>
              </w:rPr>
            </w:pPr>
            <w:r>
              <w:rPr>
                <w:rFonts w:hint="eastAsia"/>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220" w:type="dxa"/>
          </w:tcPr>
          <w:p>
            <w:pPr>
              <w:spacing w:line="440" w:lineRule="exact"/>
              <w:rPr>
                <w:highlight w:val="none"/>
              </w:rPr>
            </w:pPr>
          </w:p>
        </w:tc>
        <w:tc>
          <w:tcPr>
            <w:tcW w:w="1516" w:type="dxa"/>
          </w:tcPr>
          <w:p>
            <w:pPr>
              <w:spacing w:line="440" w:lineRule="exact"/>
              <w:rPr>
                <w:highlight w:val="none"/>
              </w:rPr>
            </w:pPr>
          </w:p>
        </w:tc>
        <w:tc>
          <w:tcPr>
            <w:tcW w:w="1585" w:type="dxa"/>
          </w:tcPr>
          <w:p>
            <w:pPr>
              <w:spacing w:line="440" w:lineRule="exact"/>
              <w:rPr>
                <w:highlight w:val="none"/>
              </w:rPr>
            </w:pPr>
          </w:p>
        </w:tc>
        <w:tc>
          <w:tcPr>
            <w:tcW w:w="1789" w:type="dxa"/>
          </w:tcPr>
          <w:p>
            <w:pPr>
              <w:spacing w:line="440" w:lineRule="exact"/>
              <w:rPr>
                <w:highlight w:val="none"/>
              </w:rPr>
            </w:pPr>
          </w:p>
        </w:tc>
        <w:tc>
          <w:tcPr>
            <w:tcW w:w="1516" w:type="dxa"/>
          </w:tcPr>
          <w:p>
            <w:pPr>
              <w:spacing w:line="440" w:lineRule="exact"/>
              <w:rPr>
                <w:highlight w:val="none"/>
              </w:rPr>
            </w:pPr>
          </w:p>
        </w:tc>
        <w:tc>
          <w:tcPr>
            <w:tcW w:w="1516" w:type="dxa"/>
          </w:tcPr>
          <w:p>
            <w:pPr>
              <w:spacing w:line="44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220" w:type="dxa"/>
          </w:tcPr>
          <w:p>
            <w:pPr>
              <w:spacing w:line="440" w:lineRule="exact"/>
              <w:rPr>
                <w:highlight w:val="none"/>
              </w:rPr>
            </w:pPr>
          </w:p>
        </w:tc>
        <w:tc>
          <w:tcPr>
            <w:tcW w:w="1516" w:type="dxa"/>
          </w:tcPr>
          <w:p>
            <w:pPr>
              <w:spacing w:line="440" w:lineRule="exact"/>
              <w:rPr>
                <w:highlight w:val="none"/>
              </w:rPr>
            </w:pPr>
          </w:p>
        </w:tc>
        <w:tc>
          <w:tcPr>
            <w:tcW w:w="1585" w:type="dxa"/>
          </w:tcPr>
          <w:p>
            <w:pPr>
              <w:spacing w:line="440" w:lineRule="exact"/>
              <w:rPr>
                <w:highlight w:val="none"/>
              </w:rPr>
            </w:pPr>
          </w:p>
        </w:tc>
        <w:tc>
          <w:tcPr>
            <w:tcW w:w="1789" w:type="dxa"/>
          </w:tcPr>
          <w:p>
            <w:pPr>
              <w:spacing w:line="440" w:lineRule="exact"/>
              <w:rPr>
                <w:highlight w:val="none"/>
              </w:rPr>
            </w:pPr>
          </w:p>
        </w:tc>
        <w:tc>
          <w:tcPr>
            <w:tcW w:w="1516" w:type="dxa"/>
          </w:tcPr>
          <w:p>
            <w:pPr>
              <w:spacing w:line="440" w:lineRule="exact"/>
              <w:rPr>
                <w:highlight w:val="none"/>
              </w:rPr>
            </w:pPr>
          </w:p>
        </w:tc>
        <w:tc>
          <w:tcPr>
            <w:tcW w:w="1516" w:type="dxa"/>
          </w:tcPr>
          <w:p>
            <w:pPr>
              <w:spacing w:line="44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220" w:type="dxa"/>
          </w:tcPr>
          <w:p>
            <w:pPr>
              <w:spacing w:line="440" w:lineRule="exact"/>
              <w:rPr>
                <w:highlight w:val="none"/>
              </w:rPr>
            </w:pPr>
          </w:p>
        </w:tc>
        <w:tc>
          <w:tcPr>
            <w:tcW w:w="1516" w:type="dxa"/>
          </w:tcPr>
          <w:p>
            <w:pPr>
              <w:spacing w:line="440" w:lineRule="exact"/>
              <w:rPr>
                <w:highlight w:val="none"/>
              </w:rPr>
            </w:pPr>
          </w:p>
        </w:tc>
        <w:tc>
          <w:tcPr>
            <w:tcW w:w="1585" w:type="dxa"/>
          </w:tcPr>
          <w:p>
            <w:pPr>
              <w:spacing w:line="440" w:lineRule="exact"/>
              <w:rPr>
                <w:highlight w:val="none"/>
              </w:rPr>
            </w:pPr>
          </w:p>
        </w:tc>
        <w:tc>
          <w:tcPr>
            <w:tcW w:w="1789" w:type="dxa"/>
          </w:tcPr>
          <w:p>
            <w:pPr>
              <w:spacing w:line="440" w:lineRule="exact"/>
              <w:rPr>
                <w:highlight w:val="none"/>
              </w:rPr>
            </w:pPr>
          </w:p>
        </w:tc>
        <w:tc>
          <w:tcPr>
            <w:tcW w:w="1516" w:type="dxa"/>
          </w:tcPr>
          <w:p>
            <w:pPr>
              <w:spacing w:line="440" w:lineRule="exact"/>
              <w:rPr>
                <w:highlight w:val="none"/>
              </w:rPr>
            </w:pPr>
          </w:p>
        </w:tc>
        <w:tc>
          <w:tcPr>
            <w:tcW w:w="1516" w:type="dxa"/>
          </w:tcPr>
          <w:p>
            <w:pPr>
              <w:spacing w:line="44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220" w:type="dxa"/>
          </w:tcPr>
          <w:p>
            <w:pPr>
              <w:spacing w:line="440" w:lineRule="exact"/>
              <w:rPr>
                <w:highlight w:val="none"/>
              </w:rPr>
            </w:pPr>
          </w:p>
        </w:tc>
        <w:tc>
          <w:tcPr>
            <w:tcW w:w="1516" w:type="dxa"/>
          </w:tcPr>
          <w:p>
            <w:pPr>
              <w:spacing w:line="440" w:lineRule="exact"/>
              <w:rPr>
                <w:highlight w:val="none"/>
              </w:rPr>
            </w:pPr>
          </w:p>
        </w:tc>
        <w:tc>
          <w:tcPr>
            <w:tcW w:w="1585" w:type="dxa"/>
          </w:tcPr>
          <w:p>
            <w:pPr>
              <w:spacing w:line="440" w:lineRule="exact"/>
              <w:rPr>
                <w:highlight w:val="none"/>
              </w:rPr>
            </w:pPr>
          </w:p>
        </w:tc>
        <w:tc>
          <w:tcPr>
            <w:tcW w:w="1789" w:type="dxa"/>
          </w:tcPr>
          <w:p>
            <w:pPr>
              <w:spacing w:line="440" w:lineRule="exact"/>
              <w:rPr>
                <w:highlight w:val="none"/>
              </w:rPr>
            </w:pPr>
          </w:p>
        </w:tc>
        <w:tc>
          <w:tcPr>
            <w:tcW w:w="1516" w:type="dxa"/>
          </w:tcPr>
          <w:p>
            <w:pPr>
              <w:spacing w:line="440" w:lineRule="exact"/>
              <w:rPr>
                <w:highlight w:val="none"/>
              </w:rPr>
            </w:pPr>
          </w:p>
        </w:tc>
        <w:tc>
          <w:tcPr>
            <w:tcW w:w="1516" w:type="dxa"/>
          </w:tcPr>
          <w:p>
            <w:pPr>
              <w:spacing w:line="44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220" w:type="dxa"/>
          </w:tcPr>
          <w:p>
            <w:pPr>
              <w:spacing w:line="440" w:lineRule="exact"/>
              <w:rPr>
                <w:highlight w:val="none"/>
              </w:rPr>
            </w:pPr>
          </w:p>
        </w:tc>
        <w:tc>
          <w:tcPr>
            <w:tcW w:w="1516" w:type="dxa"/>
          </w:tcPr>
          <w:p>
            <w:pPr>
              <w:spacing w:line="440" w:lineRule="exact"/>
              <w:rPr>
                <w:highlight w:val="none"/>
              </w:rPr>
            </w:pPr>
          </w:p>
        </w:tc>
        <w:tc>
          <w:tcPr>
            <w:tcW w:w="1585" w:type="dxa"/>
          </w:tcPr>
          <w:p>
            <w:pPr>
              <w:spacing w:line="440" w:lineRule="exact"/>
              <w:rPr>
                <w:highlight w:val="none"/>
              </w:rPr>
            </w:pPr>
          </w:p>
        </w:tc>
        <w:tc>
          <w:tcPr>
            <w:tcW w:w="1789" w:type="dxa"/>
          </w:tcPr>
          <w:p>
            <w:pPr>
              <w:spacing w:line="440" w:lineRule="exact"/>
              <w:rPr>
                <w:highlight w:val="none"/>
              </w:rPr>
            </w:pPr>
          </w:p>
        </w:tc>
        <w:tc>
          <w:tcPr>
            <w:tcW w:w="1516" w:type="dxa"/>
          </w:tcPr>
          <w:p>
            <w:pPr>
              <w:spacing w:line="440" w:lineRule="exact"/>
              <w:rPr>
                <w:highlight w:val="none"/>
              </w:rPr>
            </w:pPr>
          </w:p>
        </w:tc>
        <w:tc>
          <w:tcPr>
            <w:tcW w:w="1516" w:type="dxa"/>
          </w:tcPr>
          <w:p>
            <w:pPr>
              <w:spacing w:line="44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1220" w:type="dxa"/>
          </w:tcPr>
          <w:p>
            <w:pPr>
              <w:spacing w:line="440" w:lineRule="exact"/>
              <w:rPr>
                <w:highlight w:val="none"/>
              </w:rPr>
            </w:pPr>
          </w:p>
        </w:tc>
        <w:tc>
          <w:tcPr>
            <w:tcW w:w="1516" w:type="dxa"/>
          </w:tcPr>
          <w:p>
            <w:pPr>
              <w:spacing w:line="440" w:lineRule="exact"/>
              <w:rPr>
                <w:highlight w:val="none"/>
              </w:rPr>
            </w:pPr>
          </w:p>
        </w:tc>
        <w:tc>
          <w:tcPr>
            <w:tcW w:w="1585" w:type="dxa"/>
          </w:tcPr>
          <w:p>
            <w:pPr>
              <w:spacing w:line="440" w:lineRule="exact"/>
              <w:rPr>
                <w:highlight w:val="none"/>
              </w:rPr>
            </w:pPr>
          </w:p>
        </w:tc>
        <w:tc>
          <w:tcPr>
            <w:tcW w:w="1789" w:type="dxa"/>
          </w:tcPr>
          <w:p>
            <w:pPr>
              <w:spacing w:line="440" w:lineRule="exact"/>
              <w:rPr>
                <w:highlight w:val="none"/>
              </w:rPr>
            </w:pPr>
          </w:p>
        </w:tc>
        <w:tc>
          <w:tcPr>
            <w:tcW w:w="1516" w:type="dxa"/>
          </w:tcPr>
          <w:p>
            <w:pPr>
              <w:spacing w:line="440" w:lineRule="exact"/>
              <w:rPr>
                <w:highlight w:val="none"/>
              </w:rPr>
            </w:pPr>
          </w:p>
        </w:tc>
        <w:tc>
          <w:tcPr>
            <w:tcW w:w="1516" w:type="dxa"/>
          </w:tcPr>
          <w:p>
            <w:pPr>
              <w:spacing w:line="440" w:lineRule="exac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220" w:type="dxa"/>
          </w:tcPr>
          <w:p>
            <w:pPr>
              <w:spacing w:line="440" w:lineRule="exact"/>
              <w:rPr>
                <w:highlight w:val="none"/>
              </w:rPr>
            </w:pPr>
          </w:p>
        </w:tc>
        <w:tc>
          <w:tcPr>
            <w:tcW w:w="1516" w:type="dxa"/>
            <w:vAlign w:val="center"/>
          </w:tcPr>
          <w:p>
            <w:pPr>
              <w:spacing w:line="440" w:lineRule="exact"/>
              <w:rPr>
                <w:highlight w:val="none"/>
              </w:rPr>
            </w:pPr>
            <w:r>
              <w:rPr>
                <w:rFonts w:hint="eastAsia"/>
                <w:highlight w:val="none"/>
              </w:rPr>
              <w:t>N……</w:t>
            </w:r>
          </w:p>
        </w:tc>
        <w:tc>
          <w:tcPr>
            <w:tcW w:w="1585" w:type="dxa"/>
          </w:tcPr>
          <w:p>
            <w:pPr>
              <w:spacing w:line="440" w:lineRule="exact"/>
              <w:rPr>
                <w:highlight w:val="none"/>
              </w:rPr>
            </w:pPr>
          </w:p>
        </w:tc>
        <w:tc>
          <w:tcPr>
            <w:tcW w:w="1789" w:type="dxa"/>
          </w:tcPr>
          <w:p>
            <w:pPr>
              <w:spacing w:line="440" w:lineRule="exact"/>
              <w:rPr>
                <w:highlight w:val="none"/>
              </w:rPr>
            </w:pPr>
          </w:p>
        </w:tc>
        <w:tc>
          <w:tcPr>
            <w:tcW w:w="1516" w:type="dxa"/>
          </w:tcPr>
          <w:p>
            <w:pPr>
              <w:spacing w:line="440" w:lineRule="exact"/>
              <w:rPr>
                <w:highlight w:val="none"/>
              </w:rPr>
            </w:pPr>
          </w:p>
        </w:tc>
        <w:tc>
          <w:tcPr>
            <w:tcW w:w="1516" w:type="dxa"/>
          </w:tcPr>
          <w:p>
            <w:pPr>
              <w:spacing w:line="440" w:lineRule="exact"/>
              <w:rPr>
                <w:highlight w:val="none"/>
              </w:rPr>
            </w:pPr>
          </w:p>
        </w:tc>
      </w:tr>
    </w:tbl>
    <w:p>
      <w:pPr>
        <w:spacing w:line="380" w:lineRule="exact"/>
        <w:jc w:val="center"/>
        <w:rPr>
          <w:rFonts w:ascii="宋体" w:hAnsi="宋体"/>
          <w:b/>
          <w:sz w:val="36"/>
          <w:highlight w:val="none"/>
        </w:rPr>
      </w:pPr>
    </w:p>
    <w:p>
      <w:pPr>
        <w:spacing w:after="156" w:afterLines="50" w:line="360" w:lineRule="exact"/>
        <w:rPr>
          <w:rFonts w:ascii="宋体" w:hAnsi="宋体" w:cs="宋体"/>
          <w:kern w:val="0"/>
          <w:sz w:val="24"/>
          <w:highlight w:val="none"/>
          <w:u w:val="double"/>
        </w:rPr>
      </w:pPr>
      <w:r>
        <w:rPr>
          <w:rFonts w:hint="eastAsia" w:ascii="宋体" w:hAnsi="宋体"/>
          <w:sz w:val="24"/>
          <w:highlight w:val="none"/>
        </w:rPr>
        <w:t>注：</w:t>
      </w:r>
      <w:r>
        <w:rPr>
          <w:rFonts w:hint="eastAsia" w:ascii="宋体" w:hAnsi="宋体" w:cs="宋体"/>
          <w:kern w:val="0"/>
          <w:sz w:val="24"/>
          <w:highlight w:val="none"/>
          <w:u w:val="double"/>
        </w:rPr>
        <w:t>投标人必须对招标文件服务内容和商务内容进行逐项响应，并对响应情况提供相应的佐证材料，如实说明正、负偏离情况，</w:t>
      </w:r>
      <w:r>
        <w:rPr>
          <w:rFonts w:hint="eastAsia" w:ascii="宋体" w:hAnsi="宋体"/>
          <w:sz w:val="24"/>
          <w:highlight w:val="none"/>
          <w:u w:val="double"/>
        </w:rPr>
        <w:t>否则，有可能做出不利于投标人的评判。</w:t>
      </w: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ind w:right="480"/>
        <w:rPr>
          <w:rFonts w:ascii="宋体" w:hAnsi="宋体"/>
          <w:sz w:val="24"/>
          <w:highlight w:val="none"/>
          <w:u w:val="single"/>
        </w:rPr>
      </w:pPr>
      <w:r>
        <w:rPr>
          <w:rFonts w:hint="eastAsia" w:ascii="宋体" w:hAnsi="宋体"/>
          <w:sz w:val="24"/>
          <w:highlight w:val="none"/>
        </w:rPr>
        <w:t xml:space="preserve">投标人代表签字： </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投标人（全称并加盖公章）：</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exact"/>
        <w:rPr>
          <w:rFonts w:ascii="宋体" w:hAnsi="宋体"/>
          <w:sz w:val="24"/>
          <w:highlight w:val="none"/>
        </w:rPr>
      </w:pPr>
      <w:r>
        <w:rPr>
          <w:rFonts w:hint="eastAsia" w:ascii="宋体" w:hAnsi="宋体"/>
          <w:sz w:val="24"/>
          <w:highlight w:val="none"/>
        </w:rPr>
        <w:t xml:space="preserve">日  期： </w:t>
      </w:r>
      <w:r>
        <w:rPr>
          <w:rFonts w:hint="eastAsia" w:ascii="宋体" w:hAnsi="宋体"/>
          <w:sz w:val="24"/>
          <w:highlight w:val="none"/>
          <w:u w:val="single"/>
        </w:rPr>
        <w:t xml:space="preserve">    </w:t>
      </w:r>
      <w:r>
        <w:rPr>
          <w:rFonts w:hint="eastAsia" w:ascii="宋体" w:hAnsi="宋体"/>
          <w:sz w:val="24"/>
          <w:highlight w:val="none"/>
        </w:rPr>
        <w:t xml:space="preserve">年 </w:t>
      </w:r>
      <w:r>
        <w:rPr>
          <w:rFonts w:hint="eastAsia" w:ascii="宋体" w:hAnsi="宋体"/>
          <w:sz w:val="24"/>
          <w:highlight w:val="none"/>
          <w:u w:val="single"/>
        </w:rPr>
        <w:t xml:space="preserve">   </w:t>
      </w:r>
      <w:r>
        <w:rPr>
          <w:rFonts w:hint="eastAsia" w:ascii="宋体" w:hAnsi="宋体"/>
          <w:sz w:val="24"/>
          <w:highlight w:val="none"/>
        </w:rPr>
        <w:t xml:space="preserve">月 </w:t>
      </w:r>
      <w:r>
        <w:rPr>
          <w:rFonts w:hint="eastAsia" w:ascii="宋体" w:hAnsi="宋体"/>
          <w:sz w:val="24"/>
          <w:highlight w:val="none"/>
          <w:u w:val="single"/>
        </w:rPr>
        <w:t xml:space="preserve">   </w:t>
      </w:r>
      <w:r>
        <w:rPr>
          <w:rFonts w:hint="eastAsia" w:ascii="宋体" w:hAnsi="宋体"/>
          <w:sz w:val="24"/>
          <w:highlight w:val="none"/>
        </w:rPr>
        <w:t>日</w:t>
      </w:r>
    </w:p>
    <w:p>
      <w:pPr>
        <w:rPr>
          <w:highlight w:val="none"/>
        </w:rPr>
      </w:pPr>
    </w:p>
    <w:p>
      <w:pPr>
        <w:spacing w:line="380" w:lineRule="exact"/>
        <w:jc w:val="center"/>
        <w:rPr>
          <w:rFonts w:ascii="宋体" w:hAnsi="宋体"/>
          <w:b/>
          <w:sz w:val="36"/>
          <w:highlight w:val="none"/>
        </w:rPr>
      </w:pPr>
    </w:p>
    <w:p>
      <w:pPr>
        <w:spacing w:line="380" w:lineRule="exact"/>
        <w:jc w:val="center"/>
        <w:rPr>
          <w:rFonts w:ascii="宋体" w:hAnsi="宋体"/>
          <w:b/>
          <w:sz w:val="36"/>
          <w:highlight w:val="none"/>
        </w:rPr>
      </w:pPr>
    </w:p>
    <w:p>
      <w:pPr>
        <w:spacing w:line="380" w:lineRule="exact"/>
        <w:jc w:val="center"/>
        <w:rPr>
          <w:rFonts w:ascii="宋体" w:hAnsi="宋体"/>
          <w:b/>
          <w:sz w:val="36"/>
          <w:highlight w:val="none"/>
        </w:rPr>
      </w:pPr>
    </w:p>
    <w:p>
      <w:pPr>
        <w:spacing w:line="380" w:lineRule="exact"/>
        <w:jc w:val="center"/>
        <w:rPr>
          <w:rFonts w:ascii="宋体" w:hAnsi="宋体"/>
          <w:b/>
          <w:sz w:val="36"/>
          <w:highlight w:val="none"/>
        </w:rPr>
      </w:pPr>
    </w:p>
    <w:p>
      <w:pPr>
        <w:spacing w:line="380" w:lineRule="exact"/>
        <w:rPr>
          <w:rFonts w:ascii="宋体" w:hAnsi="宋体"/>
          <w:b/>
          <w:sz w:val="36"/>
          <w:highlight w:val="none"/>
        </w:rPr>
      </w:pPr>
    </w:p>
    <w:p>
      <w:pPr>
        <w:spacing w:line="380" w:lineRule="exact"/>
        <w:jc w:val="center"/>
        <w:rPr>
          <w:rFonts w:ascii="宋体" w:hAnsi="宋体"/>
          <w:b/>
          <w:sz w:val="36"/>
          <w:highlight w:val="none"/>
        </w:rPr>
      </w:pPr>
    </w:p>
    <w:p>
      <w:pPr>
        <w:spacing w:line="380" w:lineRule="exact"/>
        <w:jc w:val="center"/>
        <w:outlineLvl w:val="0"/>
        <w:rPr>
          <w:rFonts w:ascii="宋体" w:hAnsi="宋体"/>
          <w:b/>
          <w:sz w:val="36"/>
          <w:highlight w:val="none"/>
        </w:rPr>
      </w:pPr>
      <w:bookmarkStart w:id="226" w:name="_Toc16683"/>
      <w:bookmarkStart w:id="227" w:name="_Toc40254150"/>
      <w:r>
        <w:rPr>
          <w:rFonts w:hint="eastAsia" w:ascii="宋体" w:hAnsi="宋体"/>
          <w:b/>
          <w:sz w:val="36"/>
          <w:highlight w:val="none"/>
        </w:rPr>
        <w:t>6  投标人的资格证明文件</w:t>
      </w:r>
      <w:bookmarkEnd w:id="226"/>
      <w:bookmarkEnd w:id="227"/>
    </w:p>
    <w:p>
      <w:pPr>
        <w:pStyle w:val="7"/>
        <w:jc w:val="center"/>
        <w:rPr>
          <w:rFonts w:ascii="宋体" w:hAnsi="宋体"/>
          <w:sz w:val="36"/>
          <w:szCs w:val="36"/>
          <w:highlight w:val="none"/>
        </w:rPr>
      </w:pPr>
      <w:bookmarkStart w:id="228" w:name="_Toc11644"/>
      <w:bookmarkStart w:id="229" w:name="_Toc5264"/>
      <w:bookmarkStart w:id="230" w:name="_Toc40254151"/>
      <w:r>
        <w:rPr>
          <w:highlight w:val="none"/>
        </w:rPr>
        <w:t>6</w:t>
      </w:r>
      <w:r>
        <w:rPr>
          <w:rFonts w:hint="eastAsia"/>
          <w:highlight w:val="none"/>
        </w:rPr>
        <w:t>-1 法定代表人授权书</w:t>
      </w:r>
      <w:bookmarkEnd w:id="228"/>
      <w:bookmarkEnd w:id="229"/>
      <w:bookmarkEnd w:id="230"/>
    </w:p>
    <w:p>
      <w:pPr>
        <w:rPr>
          <w:highlight w:val="none"/>
        </w:rPr>
      </w:pPr>
    </w:p>
    <w:p>
      <w:pPr>
        <w:tabs>
          <w:tab w:val="left" w:pos="1260"/>
        </w:tabs>
        <w:snapToGrid w:val="0"/>
        <w:spacing w:line="240" w:lineRule="atLeast"/>
        <w:ind w:left="1260" w:hanging="420"/>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招标公司：</w:t>
      </w:r>
    </w:p>
    <w:p>
      <w:pPr>
        <w:snapToGrid w:val="0"/>
        <w:spacing w:line="440" w:lineRule="exact"/>
        <w:ind w:firstLine="480" w:firstLineChars="200"/>
        <w:jc w:val="left"/>
        <w:rPr>
          <w:rFonts w:ascii="宋体" w:hAnsi="宋体"/>
          <w:sz w:val="24"/>
          <w:szCs w:val="20"/>
          <w:highlight w:val="none"/>
        </w:rPr>
      </w:pPr>
      <w:r>
        <w:rPr>
          <w:rFonts w:hint="eastAsia" w:ascii="宋体" w:hAnsi="宋体"/>
          <w:sz w:val="24"/>
          <w:szCs w:val="20"/>
          <w:highlight w:val="none"/>
          <w:u w:val="single"/>
        </w:rPr>
        <w:t>（投标人全称）</w:t>
      </w:r>
      <w:r>
        <w:rPr>
          <w:rFonts w:hint="eastAsia" w:ascii="宋体" w:hAnsi="宋体"/>
          <w:sz w:val="24"/>
          <w:szCs w:val="20"/>
          <w:highlight w:val="none"/>
        </w:rPr>
        <w:t>法定代表人</w:t>
      </w:r>
      <w:r>
        <w:rPr>
          <w:rFonts w:hint="eastAsia" w:ascii="宋体" w:hAnsi="宋体"/>
          <w:sz w:val="24"/>
          <w:szCs w:val="20"/>
          <w:highlight w:val="none"/>
          <w:u w:val="single"/>
        </w:rPr>
        <w:t xml:space="preserve">        </w:t>
      </w:r>
      <w:r>
        <w:rPr>
          <w:rFonts w:hint="eastAsia" w:ascii="宋体" w:hAnsi="宋体"/>
          <w:sz w:val="24"/>
          <w:szCs w:val="20"/>
          <w:highlight w:val="none"/>
        </w:rPr>
        <w:t xml:space="preserve"> 授权</w:t>
      </w:r>
      <w:r>
        <w:rPr>
          <w:rFonts w:hint="eastAsia" w:ascii="宋体" w:hAnsi="宋体"/>
          <w:sz w:val="24"/>
          <w:szCs w:val="20"/>
          <w:highlight w:val="none"/>
          <w:u w:val="single"/>
        </w:rPr>
        <w:t xml:space="preserve">  （投标人代表姓名）</w:t>
      </w:r>
      <w:r>
        <w:rPr>
          <w:rFonts w:hint="eastAsia" w:ascii="宋体" w:hAnsi="宋体"/>
          <w:sz w:val="24"/>
          <w:szCs w:val="20"/>
          <w:highlight w:val="none"/>
        </w:rPr>
        <w:t>为投标人代表，代表本公司参加贵司组织的</w:t>
      </w:r>
      <w:r>
        <w:rPr>
          <w:rFonts w:hint="eastAsia" w:ascii="宋体" w:hAnsi="宋体"/>
          <w:sz w:val="24"/>
          <w:szCs w:val="20"/>
          <w:highlight w:val="none"/>
          <w:u w:val="single"/>
        </w:rPr>
        <w:t xml:space="preserve">            </w:t>
      </w:r>
      <w:r>
        <w:rPr>
          <w:rFonts w:hint="eastAsia" w:ascii="宋体" w:hAnsi="宋体"/>
          <w:sz w:val="24"/>
          <w:szCs w:val="20"/>
          <w:highlight w:val="none"/>
        </w:rPr>
        <w:t>项目（招标编号</w:t>
      </w:r>
      <w:r>
        <w:rPr>
          <w:rFonts w:hint="eastAsia" w:ascii="宋体" w:hAnsi="宋体"/>
          <w:sz w:val="24"/>
          <w:szCs w:val="20"/>
          <w:highlight w:val="none"/>
          <w:u w:val="single"/>
        </w:rPr>
        <w:t xml:space="preserve">       </w:t>
      </w:r>
      <w:r>
        <w:rPr>
          <w:rFonts w:hint="eastAsia" w:ascii="宋体" w:hAnsi="宋体"/>
          <w:sz w:val="24"/>
          <w:szCs w:val="20"/>
          <w:highlight w:val="none"/>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napToGrid w:val="0"/>
        <w:spacing w:line="440" w:lineRule="exact"/>
        <w:ind w:firstLine="480" w:firstLineChars="200"/>
        <w:jc w:val="left"/>
        <w:rPr>
          <w:rFonts w:ascii="宋体" w:hAnsi="宋体"/>
          <w:sz w:val="24"/>
          <w:szCs w:val="20"/>
          <w:highlight w:val="none"/>
        </w:rPr>
      </w:pPr>
      <w:r>
        <w:rPr>
          <w:rFonts w:hint="eastAsia" w:ascii="宋体" w:hAnsi="宋体"/>
          <w:sz w:val="24"/>
          <w:szCs w:val="20"/>
          <w:highlight w:val="none"/>
        </w:rPr>
        <w:t>本授权书自出具之日起生效。</w:t>
      </w:r>
    </w:p>
    <w:p>
      <w:pPr>
        <w:spacing w:line="380" w:lineRule="exact"/>
        <w:ind w:firstLine="480" w:firstLineChars="200"/>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投标人代表：</w:t>
      </w:r>
      <w:r>
        <w:rPr>
          <w:rFonts w:hint="eastAsia" w:ascii="宋体" w:hAnsi="宋体"/>
          <w:sz w:val="24"/>
          <w:highlight w:val="none"/>
          <w:u w:val="single"/>
        </w:rPr>
        <w:t xml:space="preserve">            </w:t>
      </w:r>
      <w:r>
        <w:rPr>
          <w:rFonts w:hint="eastAsia" w:ascii="宋体" w:hAnsi="宋体"/>
          <w:sz w:val="24"/>
          <w:highlight w:val="none"/>
        </w:rPr>
        <w:t xml:space="preserve">  性别：</w:t>
      </w:r>
      <w:r>
        <w:rPr>
          <w:rFonts w:hint="eastAsia" w:ascii="宋体" w:hAnsi="宋体"/>
          <w:sz w:val="24"/>
          <w:highlight w:val="none"/>
          <w:u w:val="single"/>
        </w:rPr>
        <w:t xml:space="preserve">       </w:t>
      </w:r>
      <w:r>
        <w:rPr>
          <w:rFonts w:hint="eastAsia" w:ascii="宋体" w:hAnsi="宋体"/>
          <w:sz w:val="24"/>
          <w:highlight w:val="none"/>
        </w:rPr>
        <w:t>身份证号：</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单位：</w:t>
      </w:r>
      <w:r>
        <w:rPr>
          <w:rFonts w:hint="eastAsia" w:ascii="宋体" w:hAnsi="宋体"/>
          <w:sz w:val="24"/>
          <w:highlight w:val="none"/>
          <w:u w:val="single"/>
        </w:rPr>
        <w:t xml:space="preserve">                  </w:t>
      </w:r>
      <w:r>
        <w:rPr>
          <w:rFonts w:hint="eastAsia" w:ascii="宋体" w:hAnsi="宋体"/>
          <w:sz w:val="24"/>
          <w:highlight w:val="none"/>
        </w:rPr>
        <w:t xml:space="preserve">  部门：</w:t>
      </w:r>
      <w:r>
        <w:rPr>
          <w:rFonts w:hint="eastAsia" w:ascii="宋体" w:hAnsi="宋体"/>
          <w:sz w:val="24"/>
          <w:highlight w:val="none"/>
          <w:u w:val="single"/>
        </w:rPr>
        <w:t xml:space="preserve">       </w:t>
      </w:r>
      <w:r>
        <w:rPr>
          <w:rFonts w:hint="eastAsia" w:ascii="宋体" w:hAnsi="宋体"/>
          <w:sz w:val="24"/>
          <w:highlight w:val="none"/>
        </w:rPr>
        <w:t xml:space="preserve">    职务：</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详细通讯地址：</w:t>
      </w:r>
      <w:r>
        <w:rPr>
          <w:rFonts w:hint="eastAsia" w:ascii="宋体" w:hAnsi="宋体"/>
          <w:sz w:val="24"/>
          <w:highlight w:val="none"/>
          <w:u w:val="single"/>
        </w:rPr>
        <w:t xml:space="preserve">          </w:t>
      </w:r>
      <w:r>
        <w:rPr>
          <w:rFonts w:hint="eastAsia" w:ascii="宋体" w:hAnsi="宋体"/>
          <w:sz w:val="24"/>
          <w:highlight w:val="none"/>
        </w:rPr>
        <w:t xml:space="preserve"> </w:t>
      </w:r>
      <w:r>
        <w:rPr>
          <w:rFonts w:hint="eastAsia" w:ascii="宋体" w:hAnsi="宋体"/>
          <w:b/>
          <w:bCs/>
          <w:sz w:val="24"/>
          <w:highlight w:val="none"/>
        </w:rPr>
        <w:t xml:space="preserve"> </w:t>
      </w:r>
      <w:r>
        <w:rPr>
          <w:rFonts w:hint="eastAsia" w:ascii="宋体" w:hAnsi="宋体"/>
          <w:sz w:val="24"/>
          <w:highlight w:val="none"/>
        </w:rPr>
        <w:t>邮政编码:</w:t>
      </w:r>
      <w:r>
        <w:rPr>
          <w:rFonts w:hint="eastAsia" w:ascii="宋体" w:hAnsi="宋体"/>
          <w:sz w:val="24"/>
          <w:highlight w:val="none"/>
          <w:u w:val="single"/>
        </w:rPr>
        <w:t xml:space="preserve">           </w:t>
      </w:r>
      <w:r>
        <w:rPr>
          <w:rFonts w:hint="eastAsia" w:ascii="宋体" w:hAnsi="宋体"/>
          <w:sz w:val="24"/>
          <w:highlight w:val="none"/>
        </w:rPr>
        <w:t xml:space="preserve"> 电话：</w:t>
      </w:r>
      <w:r>
        <w:rPr>
          <w:rFonts w:hint="eastAsia" w:ascii="宋体" w:hAnsi="宋体"/>
          <w:sz w:val="24"/>
          <w:highlight w:val="none"/>
          <w:u w:val="single"/>
        </w:rPr>
        <w:t xml:space="preserve">              </w:t>
      </w: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附：法定代表人身份证件及被授权人身份证件</w:t>
      </w:r>
    </w:p>
    <w:p>
      <w:pPr>
        <w:spacing w:line="380" w:lineRule="exact"/>
        <w:rPr>
          <w:rFonts w:ascii="宋体" w:hAnsi="宋体"/>
          <w:sz w:val="24"/>
          <w:highlight w:val="none"/>
        </w:rPr>
      </w:pPr>
    </w:p>
    <w:p>
      <w:pPr>
        <w:spacing w:line="380" w:lineRule="exact"/>
        <w:ind w:firstLine="4080" w:firstLineChars="1700"/>
        <w:rPr>
          <w:rFonts w:ascii="宋体" w:hAnsi="宋体"/>
          <w:sz w:val="24"/>
          <w:highlight w:val="none"/>
        </w:rPr>
      </w:pPr>
      <w:r>
        <w:rPr>
          <w:rFonts w:hint="eastAsia" w:ascii="宋体" w:hAnsi="宋体"/>
          <w:sz w:val="24"/>
          <w:highlight w:val="none"/>
        </w:rPr>
        <w:t>授权方</w:t>
      </w:r>
    </w:p>
    <w:p>
      <w:pPr>
        <w:spacing w:line="380" w:lineRule="exact"/>
        <w:rPr>
          <w:rFonts w:ascii="宋体" w:hAnsi="宋体"/>
          <w:sz w:val="24"/>
          <w:highlight w:val="none"/>
        </w:rPr>
      </w:pPr>
    </w:p>
    <w:p>
      <w:pPr>
        <w:spacing w:line="380" w:lineRule="exact"/>
        <w:ind w:firstLine="3960" w:firstLineChars="1650"/>
        <w:rPr>
          <w:rFonts w:ascii="宋体" w:hAnsi="宋体"/>
          <w:sz w:val="24"/>
          <w:highlight w:val="none"/>
        </w:rPr>
      </w:pPr>
      <w:r>
        <w:rPr>
          <w:rFonts w:hint="eastAsia" w:ascii="宋体" w:hAnsi="宋体"/>
          <w:sz w:val="24"/>
          <w:highlight w:val="none"/>
        </w:rPr>
        <w:t>投标人（全称并加盖公章）：</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 xml:space="preserve"> </w:t>
      </w:r>
    </w:p>
    <w:p>
      <w:pPr>
        <w:spacing w:line="380" w:lineRule="exact"/>
        <w:ind w:firstLine="3975" w:firstLineChars="1650"/>
        <w:rPr>
          <w:rFonts w:ascii="宋体" w:hAnsi="宋体"/>
          <w:sz w:val="24"/>
          <w:highlight w:val="none"/>
        </w:rPr>
      </w:pPr>
      <w:r>
        <w:rPr>
          <w:rFonts w:hint="eastAsia" w:ascii="宋体" w:hAnsi="宋体"/>
          <w:b/>
          <w:sz w:val="24"/>
          <w:highlight w:val="none"/>
        </w:rPr>
        <w:t>法定代表人签字并盖章</w:t>
      </w:r>
      <w:r>
        <w:rPr>
          <w:rFonts w:hint="eastAsia" w:ascii="宋体" w:hAnsi="宋体"/>
          <w:sz w:val="24"/>
          <w:highlight w:val="none"/>
        </w:rPr>
        <w:t>：</w:t>
      </w:r>
      <w:r>
        <w:rPr>
          <w:rFonts w:hint="eastAsia" w:ascii="宋体" w:hAnsi="宋体"/>
          <w:sz w:val="24"/>
          <w:highlight w:val="none"/>
          <w:u w:val="single"/>
        </w:rPr>
        <w:t xml:space="preserve">                     </w:t>
      </w:r>
    </w:p>
    <w:p>
      <w:pPr>
        <w:spacing w:line="380" w:lineRule="exact"/>
        <w:rPr>
          <w:rFonts w:ascii="宋体" w:hAnsi="宋体"/>
          <w:sz w:val="24"/>
          <w:highlight w:val="none"/>
        </w:rPr>
      </w:pPr>
    </w:p>
    <w:p>
      <w:pPr>
        <w:spacing w:line="380" w:lineRule="exact"/>
        <w:ind w:firstLine="4800" w:firstLineChars="2000"/>
        <w:rPr>
          <w:rFonts w:ascii="宋体" w:hAnsi="宋体"/>
          <w:sz w:val="24"/>
          <w:highlight w:val="none"/>
        </w:rPr>
      </w:pPr>
      <w:r>
        <w:rPr>
          <w:rFonts w:hint="eastAsia" w:ascii="宋体" w:hAnsi="宋体"/>
          <w:sz w:val="24"/>
          <w:highlight w:val="none"/>
        </w:rPr>
        <w:t>日     期：</w:t>
      </w:r>
      <w:r>
        <w:rPr>
          <w:rFonts w:hint="eastAsia" w:ascii="宋体" w:hAnsi="宋体"/>
          <w:sz w:val="24"/>
          <w:highlight w:val="none"/>
          <w:u w:val="single"/>
        </w:rPr>
        <w:t xml:space="preserve">                       </w:t>
      </w: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 xml:space="preserve">             </w:t>
      </w:r>
    </w:p>
    <w:p>
      <w:pPr>
        <w:spacing w:line="380" w:lineRule="exact"/>
        <w:ind w:firstLine="4080" w:firstLineChars="1700"/>
        <w:rPr>
          <w:rFonts w:ascii="宋体" w:hAnsi="宋体"/>
          <w:sz w:val="24"/>
          <w:highlight w:val="none"/>
        </w:rPr>
      </w:pPr>
      <w:r>
        <w:rPr>
          <w:rFonts w:hint="eastAsia" w:ascii="宋体" w:hAnsi="宋体"/>
          <w:sz w:val="24"/>
          <w:highlight w:val="none"/>
        </w:rPr>
        <w:t>接受授权方</w:t>
      </w:r>
    </w:p>
    <w:p>
      <w:pPr>
        <w:spacing w:line="380" w:lineRule="exact"/>
        <w:rPr>
          <w:rFonts w:ascii="宋体" w:hAnsi="宋体"/>
          <w:sz w:val="24"/>
          <w:highlight w:val="none"/>
        </w:rPr>
      </w:pPr>
      <w:r>
        <w:rPr>
          <w:rFonts w:hint="eastAsia" w:ascii="宋体" w:hAnsi="宋体"/>
          <w:sz w:val="24"/>
          <w:highlight w:val="none"/>
        </w:rPr>
        <w:t xml:space="preserve"> </w:t>
      </w:r>
    </w:p>
    <w:p>
      <w:pPr>
        <w:spacing w:line="380" w:lineRule="exact"/>
        <w:ind w:firstLine="4800" w:firstLineChars="2000"/>
        <w:rPr>
          <w:rFonts w:ascii="宋体" w:hAnsi="宋体"/>
          <w:sz w:val="24"/>
          <w:highlight w:val="none"/>
        </w:rPr>
      </w:pPr>
      <w:r>
        <w:rPr>
          <w:rFonts w:hint="eastAsia" w:ascii="宋体" w:hAnsi="宋体"/>
          <w:sz w:val="24"/>
          <w:highlight w:val="none"/>
        </w:rPr>
        <w:t>投标人代表签字：</w:t>
      </w:r>
      <w:r>
        <w:rPr>
          <w:rFonts w:hint="eastAsia" w:ascii="宋体" w:hAnsi="宋体"/>
          <w:sz w:val="24"/>
          <w:highlight w:val="none"/>
          <w:u w:val="single"/>
        </w:rPr>
        <w:t xml:space="preserve">                </w:t>
      </w:r>
    </w:p>
    <w:p>
      <w:pPr>
        <w:spacing w:line="380" w:lineRule="exact"/>
        <w:rPr>
          <w:rFonts w:ascii="宋体" w:hAnsi="宋体"/>
          <w:sz w:val="24"/>
          <w:highlight w:val="none"/>
        </w:rPr>
      </w:pPr>
    </w:p>
    <w:p>
      <w:pPr>
        <w:spacing w:line="380" w:lineRule="exact"/>
        <w:ind w:firstLine="4800" w:firstLineChars="2000"/>
        <w:rPr>
          <w:rFonts w:ascii="宋体" w:hAnsi="宋体"/>
          <w:sz w:val="24"/>
          <w:highlight w:val="none"/>
          <w:u w:val="single"/>
        </w:rPr>
      </w:pPr>
      <w:r>
        <w:rPr>
          <w:rFonts w:hint="eastAsia" w:ascii="宋体" w:hAnsi="宋体"/>
          <w:sz w:val="24"/>
          <w:highlight w:val="none"/>
        </w:rPr>
        <w:t>日     期：</w:t>
      </w:r>
      <w:r>
        <w:rPr>
          <w:rFonts w:hint="eastAsia" w:ascii="宋体" w:hAnsi="宋体"/>
          <w:sz w:val="24"/>
          <w:highlight w:val="none"/>
          <w:u w:val="single"/>
        </w:rPr>
        <w:t xml:space="preserve">   </w:t>
      </w:r>
    </w:p>
    <w:p>
      <w:pPr>
        <w:spacing w:line="380" w:lineRule="exact"/>
        <w:ind w:firstLine="4800" w:firstLineChars="2000"/>
        <w:rPr>
          <w:rFonts w:ascii="宋体" w:hAnsi="宋体"/>
          <w:sz w:val="24"/>
          <w:highlight w:val="none"/>
          <w:u w:val="single"/>
        </w:rPr>
      </w:pPr>
      <w:r>
        <w:rPr>
          <w:rFonts w:hint="eastAsia" w:ascii="宋体" w:hAnsi="宋体"/>
          <w:sz w:val="24"/>
          <w:highlight w:val="none"/>
          <w:u w:val="single"/>
        </w:rPr>
        <w:t xml:space="preserve">                  </w:t>
      </w:r>
    </w:p>
    <w:p>
      <w:pPr>
        <w:pStyle w:val="7"/>
        <w:jc w:val="center"/>
        <w:rPr>
          <w:highlight w:val="none"/>
        </w:rPr>
      </w:pPr>
      <w:bookmarkStart w:id="231" w:name="_Toc31935"/>
      <w:bookmarkStart w:id="232" w:name="_Toc40254152"/>
      <w:bookmarkStart w:id="233" w:name="_Toc25064"/>
      <w:r>
        <w:rPr>
          <w:highlight w:val="none"/>
        </w:rPr>
        <w:t>6</w:t>
      </w:r>
      <w:r>
        <w:rPr>
          <w:rFonts w:hint="eastAsia"/>
          <w:highlight w:val="none"/>
        </w:rPr>
        <w:t>-2法人营业执照、税务登记证等</w:t>
      </w:r>
      <w:bookmarkEnd w:id="231"/>
      <w:bookmarkEnd w:id="232"/>
      <w:bookmarkEnd w:id="233"/>
    </w:p>
    <w:p>
      <w:pPr>
        <w:rPr>
          <w:rFonts w:ascii="宋体" w:hAnsi="宋体"/>
          <w:highlight w:val="none"/>
        </w:rPr>
      </w:pPr>
    </w:p>
    <w:p>
      <w:pPr>
        <w:rPr>
          <w:rFonts w:ascii="宋体" w:hAnsi="宋体"/>
          <w:highlight w:val="none"/>
        </w:rPr>
      </w:pPr>
    </w:p>
    <w:p>
      <w:pPr>
        <w:rPr>
          <w:rFonts w:ascii="宋体" w:hAnsi="宋体"/>
          <w:highlight w:val="none"/>
        </w:rPr>
      </w:pPr>
    </w:p>
    <w:p>
      <w:pPr>
        <w:spacing w:line="380" w:lineRule="exact"/>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w:t>
      </w:r>
    </w:p>
    <w:p>
      <w:pPr>
        <w:spacing w:line="380" w:lineRule="exact"/>
        <w:rPr>
          <w:rFonts w:ascii="宋体" w:hAnsi="宋体"/>
          <w:sz w:val="24"/>
          <w:szCs w:val="20"/>
          <w:highlight w:val="none"/>
        </w:rPr>
      </w:pPr>
    </w:p>
    <w:p>
      <w:pPr>
        <w:spacing w:line="380" w:lineRule="exact"/>
        <w:ind w:firstLine="480" w:firstLineChars="200"/>
        <w:rPr>
          <w:rFonts w:ascii="宋体" w:hAnsi="宋体"/>
          <w:sz w:val="24"/>
          <w:highlight w:val="none"/>
        </w:rPr>
      </w:pPr>
      <w:r>
        <w:rPr>
          <w:rFonts w:hint="eastAsia" w:ascii="宋体" w:hAnsi="宋体"/>
          <w:sz w:val="24"/>
          <w:highlight w:val="none"/>
        </w:rPr>
        <w:t>现附上由</w:t>
      </w:r>
      <w:r>
        <w:rPr>
          <w:rFonts w:hint="eastAsia" w:ascii="宋体" w:hAnsi="宋体"/>
          <w:sz w:val="24"/>
          <w:highlight w:val="none"/>
          <w:u w:val="single"/>
        </w:rPr>
        <w:t xml:space="preserve">                         </w:t>
      </w:r>
      <w:r>
        <w:rPr>
          <w:rFonts w:hint="eastAsia" w:ascii="宋体" w:hAnsi="宋体"/>
          <w:sz w:val="24"/>
          <w:highlight w:val="none"/>
        </w:rPr>
        <w:t>（签发机关名称）签发的我方法人营业执照副本复印件，真实有效。</w:t>
      </w:r>
    </w:p>
    <w:p>
      <w:pPr>
        <w:spacing w:line="380" w:lineRule="exact"/>
        <w:ind w:firstLine="480" w:firstLineChars="200"/>
        <w:rPr>
          <w:rFonts w:ascii="宋体" w:hAnsi="宋体"/>
          <w:sz w:val="24"/>
          <w:highlight w:val="none"/>
        </w:rPr>
      </w:pPr>
      <w:r>
        <w:rPr>
          <w:rFonts w:hint="eastAsia" w:ascii="宋体" w:hAnsi="宋体"/>
          <w:sz w:val="24"/>
          <w:highlight w:val="none"/>
        </w:rPr>
        <w:t>现附上由</w:t>
      </w:r>
      <w:r>
        <w:rPr>
          <w:rFonts w:hint="eastAsia" w:ascii="宋体" w:hAnsi="宋体"/>
          <w:sz w:val="24"/>
          <w:highlight w:val="none"/>
          <w:u w:val="single"/>
        </w:rPr>
        <w:t xml:space="preserve">                         </w:t>
      </w:r>
      <w:r>
        <w:rPr>
          <w:rFonts w:hint="eastAsia" w:ascii="宋体" w:hAnsi="宋体"/>
          <w:sz w:val="24"/>
          <w:highlight w:val="none"/>
        </w:rPr>
        <w:t>（签发机关名称）签发的我方税务登记证副本复印件，真实有效。</w:t>
      </w:r>
    </w:p>
    <w:p>
      <w:pPr>
        <w:spacing w:line="380" w:lineRule="exact"/>
        <w:ind w:firstLine="480" w:firstLineChars="200"/>
        <w:rPr>
          <w:rFonts w:ascii="宋体" w:hAnsi="宋体"/>
          <w:sz w:val="24"/>
          <w:highlight w:val="none"/>
        </w:rPr>
      </w:pPr>
      <w:r>
        <w:rPr>
          <w:rFonts w:hint="eastAsia" w:ascii="宋体" w:hAnsi="宋体"/>
          <w:sz w:val="24"/>
          <w:highlight w:val="none"/>
        </w:rPr>
        <w:t>现附上由</w:t>
      </w:r>
      <w:r>
        <w:rPr>
          <w:rFonts w:hint="eastAsia" w:ascii="宋体" w:hAnsi="宋体"/>
          <w:sz w:val="24"/>
          <w:highlight w:val="none"/>
          <w:u w:val="single"/>
        </w:rPr>
        <w:t xml:space="preserve">                         </w:t>
      </w:r>
      <w:r>
        <w:rPr>
          <w:rFonts w:hint="eastAsia" w:ascii="宋体" w:hAnsi="宋体"/>
          <w:sz w:val="24"/>
          <w:highlight w:val="none"/>
        </w:rPr>
        <w:t>（签发机关名称）签发的我方组织机构代码证复印件，真实有效。</w:t>
      </w:r>
    </w:p>
    <w:p>
      <w:pPr>
        <w:spacing w:line="380" w:lineRule="exact"/>
        <w:ind w:firstLine="480" w:firstLineChars="200"/>
        <w:rPr>
          <w:rFonts w:ascii="宋体" w:hAnsi="宋体"/>
          <w:sz w:val="24"/>
          <w:highlight w:val="none"/>
        </w:rPr>
      </w:pPr>
    </w:p>
    <w:p>
      <w:pPr>
        <w:ind w:firstLine="562" w:firstLineChars="200"/>
        <w:rPr>
          <w:rFonts w:ascii="宋体" w:hAnsi="宋体"/>
          <w:b/>
          <w:bCs/>
          <w:sz w:val="28"/>
          <w:highlight w:val="none"/>
        </w:rPr>
      </w:pPr>
      <w:r>
        <w:rPr>
          <w:rFonts w:hint="eastAsia" w:ascii="宋体" w:hAnsi="宋体"/>
          <w:b/>
          <w:bCs/>
          <w:sz w:val="28"/>
          <w:highlight w:val="none"/>
        </w:rPr>
        <w:t>（注：法人营业执照、税务登记证等复印件，由企业加盖公章并注明复印件与原件一致，</w:t>
      </w:r>
      <w:r>
        <w:rPr>
          <w:rFonts w:ascii="宋体" w:hAnsi="宋体"/>
          <w:b/>
          <w:bCs/>
          <w:sz w:val="28"/>
          <w:highlight w:val="none"/>
        </w:rPr>
        <w:t>若三证合一，仅需提供有“统一社会信用代码”的法人营业执照副本复印件</w:t>
      </w:r>
      <w:r>
        <w:rPr>
          <w:rFonts w:hint="eastAsia" w:ascii="宋体" w:hAnsi="宋体"/>
          <w:b/>
          <w:bCs/>
          <w:sz w:val="28"/>
          <w:highlight w:val="none"/>
        </w:rPr>
        <w:t>。）</w:t>
      </w:r>
    </w:p>
    <w:p>
      <w:pPr>
        <w:spacing w:line="380" w:lineRule="exact"/>
        <w:rPr>
          <w:rFonts w:ascii="宋体" w:hAnsi="宋体"/>
          <w:sz w:val="24"/>
          <w:szCs w:val="20"/>
          <w:highlight w:val="none"/>
        </w:rPr>
      </w:pPr>
    </w:p>
    <w:p>
      <w:pPr>
        <w:spacing w:line="380" w:lineRule="exact"/>
        <w:rPr>
          <w:rFonts w:ascii="宋体" w:hAnsi="宋体"/>
          <w:sz w:val="24"/>
          <w:szCs w:val="20"/>
          <w:highlight w:val="none"/>
        </w:rPr>
      </w:pPr>
    </w:p>
    <w:p>
      <w:pPr>
        <w:spacing w:line="380" w:lineRule="exact"/>
        <w:rPr>
          <w:rFonts w:ascii="宋体" w:hAnsi="宋体"/>
          <w:sz w:val="24"/>
          <w:szCs w:val="20"/>
          <w:highlight w:val="none"/>
        </w:rPr>
      </w:pPr>
    </w:p>
    <w:p>
      <w:pPr>
        <w:spacing w:line="380" w:lineRule="exact"/>
        <w:rPr>
          <w:rFonts w:ascii="宋体" w:hAnsi="宋体"/>
          <w:sz w:val="24"/>
          <w:szCs w:val="20"/>
          <w:highlight w:val="none"/>
        </w:rPr>
      </w:pPr>
    </w:p>
    <w:p>
      <w:pPr>
        <w:spacing w:line="380" w:lineRule="exact"/>
        <w:rPr>
          <w:rFonts w:ascii="宋体" w:hAnsi="宋体"/>
          <w:sz w:val="24"/>
          <w:szCs w:val="20"/>
          <w:highlight w:val="none"/>
        </w:rPr>
      </w:pPr>
    </w:p>
    <w:p>
      <w:pPr>
        <w:spacing w:line="380" w:lineRule="exact"/>
        <w:rPr>
          <w:rFonts w:ascii="宋体" w:hAnsi="宋体"/>
          <w:sz w:val="24"/>
          <w:szCs w:val="20"/>
          <w:highlight w:val="none"/>
        </w:rPr>
      </w:pPr>
    </w:p>
    <w:p>
      <w:pPr>
        <w:spacing w:line="380" w:lineRule="exact"/>
        <w:rPr>
          <w:rFonts w:ascii="宋体" w:hAnsi="宋体"/>
          <w:sz w:val="24"/>
          <w:szCs w:val="20"/>
          <w:highlight w:val="none"/>
        </w:rPr>
      </w:pPr>
    </w:p>
    <w:p>
      <w:pPr>
        <w:spacing w:line="380" w:lineRule="exact"/>
        <w:rPr>
          <w:rFonts w:ascii="宋体" w:hAnsi="宋体"/>
          <w:sz w:val="24"/>
          <w:highlight w:val="none"/>
        </w:rPr>
      </w:pPr>
      <w:r>
        <w:rPr>
          <w:rFonts w:hint="eastAsia" w:ascii="宋体" w:hAnsi="宋体"/>
          <w:sz w:val="24"/>
          <w:highlight w:val="none"/>
        </w:rPr>
        <w:t xml:space="preserve">                         投 标 人（全称并加盖公章）：</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exact"/>
        <w:rPr>
          <w:rFonts w:ascii="宋体" w:hAnsi="宋体"/>
          <w:sz w:val="24"/>
          <w:highlight w:val="none"/>
        </w:rPr>
      </w:pPr>
      <w:r>
        <w:rPr>
          <w:rFonts w:hint="eastAsia" w:ascii="宋体" w:hAnsi="宋体"/>
          <w:sz w:val="24"/>
          <w:highlight w:val="none"/>
        </w:rPr>
        <w:t xml:space="preserve">                         投标人代表签字：</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 xml:space="preserve">                         日      期：</w:t>
      </w:r>
      <w:r>
        <w:rPr>
          <w:rFonts w:hint="eastAsia" w:ascii="宋体" w:hAnsi="宋体"/>
          <w:sz w:val="24"/>
          <w:highlight w:val="none"/>
          <w:u w:val="single"/>
        </w:rPr>
        <w:t xml:space="preserve">                                </w:t>
      </w:r>
    </w:p>
    <w:p>
      <w:pPr>
        <w:spacing w:line="380" w:lineRule="exact"/>
        <w:rPr>
          <w:rFonts w:ascii="宋体" w:hAnsi="宋体"/>
          <w:sz w:val="24"/>
          <w:highlight w:val="none"/>
        </w:rPr>
      </w:pPr>
    </w:p>
    <w:p>
      <w:pPr>
        <w:spacing w:line="380" w:lineRule="exact"/>
        <w:rPr>
          <w:rFonts w:ascii="宋体" w:hAnsi="宋体"/>
          <w:sz w:val="24"/>
          <w:highlight w:val="none"/>
        </w:rPr>
      </w:pPr>
    </w:p>
    <w:p>
      <w:pPr>
        <w:spacing w:line="440" w:lineRule="exact"/>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pStyle w:val="28"/>
        <w:jc w:val="center"/>
        <w:rPr>
          <w:b/>
          <w:bCs/>
          <w:sz w:val="30"/>
          <w:szCs w:val="30"/>
          <w:highlight w:val="none"/>
        </w:rPr>
      </w:pPr>
    </w:p>
    <w:p>
      <w:pPr>
        <w:pStyle w:val="28"/>
        <w:jc w:val="center"/>
        <w:rPr>
          <w:b/>
          <w:bCs/>
          <w:sz w:val="30"/>
          <w:szCs w:val="30"/>
          <w:highlight w:val="none"/>
        </w:rPr>
      </w:pPr>
      <w:r>
        <w:rPr>
          <w:b/>
          <w:bCs/>
          <w:sz w:val="30"/>
          <w:szCs w:val="30"/>
          <w:highlight w:val="none"/>
        </w:rPr>
        <w:t>6</w:t>
      </w:r>
      <w:r>
        <w:rPr>
          <w:rFonts w:hint="eastAsia"/>
          <w:b/>
          <w:bCs/>
          <w:sz w:val="30"/>
          <w:szCs w:val="30"/>
          <w:highlight w:val="none"/>
        </w:rPr>
        <w:t>-3</w:t>
      </w:r>
      <w:r>
        <w:rPr>
          <w:rStyle w:val="38"/>
          <w:rFonts w:hint="eastAsia"/>
          <w:sz w:val="30"/>
          <w:szCs w:val="30"/>
          <w:highlight w:val="none"/>
        </w:rPr>
        <w:t>参加采购活动前三年内在经营活动中没有重大违法记录书面声明</w:t>
      </w:r>
    </w:p>
    <w:p>
      <w:pPr>
        <w:pStyle w:val="28"/>
        <w:rPr>
          <w:highlight w:val="none"/>
        </w:rPr>
      </w:pPr>
      <w:r>
        <w:rPr>
          <w:rFonts w:hint="eastAsia"/>
          <w:sz w:val="21"/>
          <w:szCs w:val="21"/>
          <w:highlight w:val="none"/>
        </w:rPr>
        <w:t> </w:t>
      </w:r>
    </w:p>
    <w:p>
      <w:pPr>
        <w:pStyle w:val="28"/>
        <w:rPr>
          <w:highlight w:val="none"/>
        </w:rPr>
      </w:pPr>
      <w:r>
        <w:rPr>
          <w:rFonts w:hint="eastAsia"/>
          <w:sz w:val="21"/>
          <w:szCs w:val="21"/>
          <w:highlight w:val="none"/>
        </w:rPr>
        <w:t>致：</w:t>
      </w:r>
      <w:r>
        <w:rPr>
          <w:rFonts w:hint="eastAsia"/>
          <w:sz w:val="21"/>
          <w:szCs w:val="21"/>
          <w:highlight w:val="none"/>
          <w:u w:val="single"/>
        </w:rPr>
        <w:t>                     </w:t>
      </w:r>
    </w:p>
    <w:p>
      <w:pPr>
        <w:pStyle w:val="28"/>
        <w:ind w:firstLine="420"/>
        <w:rPr>
          <w:highlight w:val="none"/>
        </w:rPr>
      </w:pPr>
      <w:r>
        <w:rPr>
          <w:rFonts w:hint="eastAsia"/>
          <w:sz w:val="21"/>
          <w:szCs w:val="21"/>
          <w:highlight w:val="none"/>
        </w:rPr>
        <w:t>参加采购活动前三年内，我方在经营活动中没有重大违法记录，也无行贿犯罪记录，否则产生不利后果由我方承担责任。</w:t>
      </w:r>
    </w:p>
    <w:p>
      <w:pPr>
        <w:pStyle w:val="28"/>
        <w:ind w:firstLine="420"/>
        <w:rPr>
          <w:highlight w:val="none"/>
        </w:rPr>
      </w:pPr>
      <w:r>
        <w:rPr>
          <w:rFonts w:hint="eastAsia"/>
          <w:sz w:val="21"/>
          <w:szCs w:val="21"/>
          <w:highlight w:val="none"/>
        </w:rPr>
        <w:t>特此声明。</w:t>
      </w:r>
    </w:p>
    <w:p>
      <w:pPr>
        <w:pStyle w:val="28"/>
        <w:rPr>
          <w:highlight w:val="none"/>
        </w:rPr>
      </w:pPr>
      <w:r>
        <w:rPr>
          <w:rFonts w:ascii="Calibri" w:hAnsi="Calibri" w:cs="Calibri"/>
          <w:sz w:val="21"/>
          <w:szCs w:val="21"/>
          <w:highlight w:val="none"/>
        </w:rPr>
        <w:t> </w:t>
      </w:r>
    </w:p>
    <w:p>
      <w:pPr>
        <w:pStyle w:val="28"/>
        <w:rPr>
          <w:highlight w:val="none"/>
        </w:rPr>
      </w:pPr>
      <w:r>
        <w:rPr>
          <w:rFonts w:hint="eastAsia"/>
          <w:sz w:val="21"/>
          <w:szCs w:val="21"/>
          <w:highlight w:val="none"/>
        </w:rPr>
        <w:t>★注意：</w:t>
      </w:r>
    </w:p>
    <w:p>
      <w:pPr>
        <w:pStyle w:val="28"/>
        <w:rPr>
          <w:highlight w:val="none"/>
        </w:rPr>
      </w:pPr>
      <w:r>
        <w:rPr>
          <w:rFonts w:hint="eastAsia"/>
          <w:sz w:val="21"/>
          <w:szCs w:val="21"/>
          <w:highlight w:val="none"/>
        </w:rPr>
        <w:t>1、“重大违法记录”指投标人因违法经营受到刑事处罚或责令停产停业、吊销许可证或执照、较大数额罚款等行政处罚。</w:t>
      </w:r>
    </w:p>
    <w:p>
      <w:pPr>
        <w:pStyle w:val="28"/>
        <w:rPr>
          <w:highlight w:val="none"/>
        </w:rPr>
      </w:pPr>
      <w:r>
        <w:rPr>
          <w:rFonts w:hint="eastAsia"/>
          <w:sz w:val="21"/>
          <w:szCs w:val="21"/>
          <w:highlight w:val="none"/>
        </w:rPr>
        <w:t>2、请投标人根据实际情况如实声明，否则</w:t>
      </w:r>
      <w:r>
        <w:rPr>
          <w:rStyle w:val="38"/>
          <w:rFonts w:hint="eastAsia"/>
          <w:sz w:val="21"/>
          <w:szCs w:val="21"/>
          <w:highlight w:val="none"/>
        </w:rPr>
        <w:t>视为提供虚假材料。</w:t>
      </w:r>
    </w:p>
    <w:p>
      <w:pPr>
        <w:pStyle w:val="28"/>
        <w:rPr>
          <w:highlight w:val="none"/>
        </w:rPr>
      </w:pPr>
      <w:r>
        <w:rPr>
          <w:rFonts w:hint="eastAsia"/>
          <w:sz w:val="21"/>
          <w:szCs w:val="21"/>
          <w:highlight w:val="none"/>
        </w:rPr>
        <w:t> </w:t>
      </w:r>
    </w:p>
    <w:p>
      <w:pPr>
        <w:pStyle w:val="28"/>
        <w:rPr>
          <w:highlight w:val="none"/>
        </w:rPr>
      </w:pPr>
      <w:r>
        <w:rPr>
          <w:rFonts w:hint="eastAsia"/>
          <w:sz w:val="21"/>
          <w:szCs w:val="21"/>
          <w:highlight w:val="none"/>
        </w:rPr>
        <w:t> </w:t>
      </w:r>
    </w:p>
    <w:p>
      <w:pPr>
        <w:pStyle w:val="28"/>
        <w:rPr>
          <w:highlight w:val="none"/>
        </w:rPr>
      </w:pPr>
      <w:r>
        <w:rPr>
          <w:rFonts w:hint="eastAsia"/>
          <w:sz w:val="21"/>
          <w:szCs w:val="21"/>
          <w:highlight w:val="none"/>
        </w:rPr>
        <w:t>投标人：</w:t>
      </w:r>
      <w:r>
        <w:rPr>
          <w:rFonts w:hint="eastAsia"/>
          <w:sz w:val="21"/>
          <w:szCs w:val="21"/>
          <w:highlight w:val="none"/>
          <w:u w:val="single"/>
        </w:rPr>
        <w:t>（全称并加盖单位公章）</w:t>
      </w:r>
    </w:p>
    <w:p>
      <w:pPr>
        <w:pStyle w:val="28"/>
        <w:rPr>
          <w:highlight w:val="none"/>
        </w:rPr>
      </w:pPr>
      <w:r>
        <w:rPr>
          <w:rFonts w:hint="eastAsia"/>
          <w:sz w:val="21"/>
          <w:szCs w:val="21"/>
          <w:highlight w:val="none"/>
        </w:rPr>
        <w:t>投标人代表签字：</w:t>
      </w:r>
      <w:r>
        <w:rPr>
          <w:rFonts w:hint="eastAsia"/>
          <w:sz w:val="21"/>
          <w:szCs w:val="21"/>
          <w:highlight w:val="none"/>
          <w:u w:val="single"/>
        </w:rPr>
        <w:t>                   </w:t>
      </w:r>
    </w:p>
    <w:p>
      <w:pPr>
        <w:pStyle w:val="28"/>
        <w:rPr>
          <w:highlight w:val="none"/>
        </w:rPr>
      </w:pPr>
      <w:r>
        <w:rPr>
          <w:rFonts w:hint="eastAsia"/>
          <w:sz w:val="21"/>
          <w:szCs w:val="21"/>
          <w:highlight w:val="none"/>
        </w:rPr>
        <w:t>日期：</w:t>
      </w:r>
      <w:r>
        <w:rPr>
          <w:rFonts w:hint="eastAsia"/>
          <w:sz w:val="21"/>
          <w:szCs w:val="21"/>
          <w:highlight w:val="none"/>
          <w:u w:val="single"/>
        </w:rPr>
        <w:t>    </w:t>
      </w:r>
      <w:r>
        <w:rPr>
          <w:rFonts w:hint="eastAsia"/>
          <w:sz w:val="21"/>
          <w:szCs w:val="21"/>
          <w:highlight w:val="none"/>
        </w:rPr>
        <w:t>年</w:t>
      </w:r>
      <w:r>
        <w:rPr>
          <w:rFonts w:hint="eastAsia"/>
          <w:sz w:val="21"/>
          <w:szCs w:val="21"/>
          <w:highlight w:val="none"/>
          <w:u w:val="single"/>
        </w:rPr>
        <w:t>   </w:t>
      </w:r>
      <w:r>
        <w:rPr>
          <w:rFonts w:hint="eastAsia"/>
          <w:sz w:val="21"/>
          <w:szCs w:val="21"/>
          <w:highlight w:val="none"/>
        </w:rPr>
        <w:t>月</w:t>
      </w:r>
      <w:r>
        <w:rPr>
          <w:rFonts w:hint="eastAsia"/>
          <w:sz w:val="21"/>
          <w:szCs w:val="21"/>
          <w:highlight w:val="none"/>
          <w:u w:val="single"/>
        </w:rPr>
        <w:t>   </w:t>
      </w:r>
      <w:r>
        <w:rPr>
          <w:rFonts w:hint="eastAsia"/>
          <w:sz w:val="21"/>
          <w:szCs w:val="21"/>
          <w:highlight w:val="none"/>
        </w:rPr>
        <w:t>日</w:t>
      </w:r>
    </w:p>
    <w:p>
      <w:pPr>
        <w:pStyle w:val="28"/>
        <w:rPr>
          <w:highlight w:val="none"/>
        </w:rPr>
      </w:pPr>
      <w:r>
        <w:rPr>
          <w:rFonts w:hint="eastAsia"/>
          <w:sz w:val="21"/>
          <w:szCs w:val="21"/>
          <w:highlight w:val="none"/>
        </w:rPr>
        <w:t> </w:t>
      </w:r>
    </w:p>
    <w:p>
      <w:pPr>
        <w:pStyle w:val="28"/>
        <w:rPr>
          <w:sz w:val="21"/>
          <w:szCs w:val="21"/>
          <w:highlight w:val="none"/>
        </w:rPr>
      </w:pPr>
      <w:r>
        <w:rPr>
          <w:rFonts w:hint="eastAsia"/>
          <w:sz w:val="21"/>
          <w:szCs w:val="21"/>
          <w:highlight w:val="none"/>
        </w:rPr>
        <w:t> </w:t>
      </w:r>
    </w:p>
    <w:p>
      <w:pPr>
        <w:rPr>
          <w:rFonts w:ascii="宋体" w:hAnsi="宋体"/>
          <w:highlight w:val="none"/>
        </w:rPr>
      </w:pPr>
    </w:p>
    <w:p>
      <w:pPr>
        <w:pStyle w:val="2"/>
        <w:rPr>
          <w:rFonts w:ascii="宋体" w:hAnsi="宋体"/>
          <w:highlight w:val="none"/>
        </w:rPr>
      </w:pPr>
    </w:p>
    <w:p>
      <w:pPr>
        <w:pStyle w:val="3"/>
        <w:rPr>
          <w:rFonts w:ascii="宋体" w:hAnsi="宋体"/>
          <w:highlight w:val="none"/>
        </w:rPr>
      </w:pPr>
    </w:p>
    <w:p>
      <w:pPr>
        <w:pStyle w:val="3"/>
        <w:rPr>
          <w:rFonts w:ascii="宋体" w:hAnsi="宋体"/>
          <w:highlight w:val="none"/>
        </w:rPr>
      </w:pPr>
    </w:p>
    <w:p>
      <w:pPr>
        <w:pStyle w:val="3"/>
        <w:rPr>
          <w:rFonts w:ascii="宋体" w:hAnsi="宋体"/>
          <w:highlight w:val="none"/>
        </w:rPr>
      </w:pPr>
    </w:p>
    <w:p>
      <w:pPr>
        <w:pStyle w:val="3"/>
        <w:rPr>
          <w:rFonts w:ascii="宋体" w:hAnsi="宋体"/>
          <w:highlight w:val="none"/>
        </w:rPr>
      </w:pPr>
    </w:p>
    <w:p>
      <w:pPr>
        <w:pStyle w:val="3"/>
        <w:rPr>
          <w:rFonts w:ascii="宋体" w:hAnsi="宋体"/>
          <w:highlight w:val="none"/>
        </w:rPr>
      </w:pPr>
    </w:p>
    <w:p>
      <w:pPr>
        <w:pStyle w:val="3"/>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spacing w:line="380" w:lineRule="exact"/>
        <w:jc w:val="center"/>
        <w:outlineLvl w:val="0"/>
        <w:rPr>
          <w:rFonts w:ascii="宋体" w:hAnsi="宋体"/>
          <w:b/>
          <w:sz w:val="36"/>
          <w:highlight w:val="none"/>
        </w:rPr>
      </w:pPr>
      <w:bookmarkStart w:id="234" w:name="_Toc7944"/>
      <w:bookmarkStart w:id="235" w:name="_Toc40254153"/>
      <w:bookmarkStart w:id="236" w:name="_Toc27255"/>
      <w:r>
        <w:rPr>
          <w:rFonts w:hint="eastAsia" w:ascii="宋体" w:hAnsi="宋体"/>
          <w:b/>
          <w:sz w:val="36"/>
          <w:highlight w:val="none"/>
        </w:rPr>
        <w:t>7  拟派出项目负责人简要情况表</w:t>
      </w:r>
      <w:bookmarkEnd w:id="234"/>
      <w:bookmarkEnd w:id="235"/>
      <w:bookmarkEnd w:id="236"/>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13"/>
        <w:gridCol w:w="1787"/>
        <w:gridCol w:w="899"/>
        <w:gridCol w:w="1705"/>
        <w:gridCol w:w="103"/>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2" w:type="dxa"/>
            <w:vAlign w:val="center"/>
          </w:tcPr>
          <w:p>
            <w:pPr>
              <w:pStyle w:val="54"/>
              <w:jc w:val="center"/>
              <w:rPr>
                <w:rFonts w:ascii="宋体"/>
                <w:sz w:val="24"/>
                <w:szCs w:val="24"/>
                <w:highlight w:val="none"/>
              </w:rPr>
            </w:pPr>
            <w:r>
              <w:rPr>
                <w:rFonts w:hint="eastAsia" w:ascii="宋体"/>
                <w:sz w:val="24"/>
                <w:szCs w:val="24"/>
                <w:highlight w:val="none"/>
              </w:rPr>
              <w:t>姓  名</w:t>
            </w:r>
          </w:p>
        </w:tc>
        <w:tc>
          <w:tcPr>
            <w:tcW w:w="913" w:type="dxa"/>
            <w:vAlign w:val="center"/>
          </w:tcPr>
          <w:p>
            <w:pPr>
              <w:pStyle w:val="54"/>
              <w:jc w:val="center"/>
              <w:rPr>
                <w:rFonts w:ascii="宋体"/>
                <w:sz w:val="24"/>
                <w:szCs w:val="24"/>
                <w:highlight w:val="none"/>
              </w:rPr>
            </w:pPr>
          </w:p>
        </w:tc>
        <w:tc>
          <w:tcPr>
            <w:tcW w:w="1787" w:type="dxa"/>
            <w:vAlign w:val="center"/>
          </w:tcPr>
          <w:p>
            <w:pPr>
              <w:pStyle w:val="54"/>
              <w:jc w:val="center"/>
              <w:rPr>
                <w:rFonts w:ascii="宋体"/>
                <w:sz w:val="24"/>
                <w:szCs w:val="24"/>
                <w:highlight w:val="none"/>
              </w:rPr>
            </w:pPr>
            <w:r>
              <w:rPr>
                <w:rFonts w:hint="eastAsia" w:ascii="宋体"/>
                <w:sz w:val="24"/>
                <w:szCs w:val="24"/>
                <w:highlight w:val="none"/>
              </w:rPr>
              <w:t>身份证号码</w:t>
            </w:r>
          </w:p>
        </w:tc>
        <w:tc>
          <w:tcPr>
            <w:tcW w:w="4736" w:type="dxa"/>
            <w:gridSpan w:val="4"/>
            <w:vAlign w:val="center"/>
          </w:tcPr>
          <w:p>
            <w:pPr>
              <w:pStyle w:val="54"/>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2" w:type="dxa"/>
            <w:vAlign w:val="center"/>
          </w:tcPr>
          <w:p>
            <w:pPr>
              <w:pStyle w:val="54"/>
              <w:jc w:val="center"/>
              <w:rPr>
                <w:rFonts w:ascii="宋体"/>
                <w:sz w:val="24"/>
                <w:szCs w:val="24"/>
                <w:highlight w:val="none"/>
              </w:rPr>
            </w:pPr>
            <w:r>
              <w:rPr>
                <w:rFonts w:hint="eastAsia" w:ascii="宋体"/>
                <w:sz w:val="24"/>
                <w:szCs w:val="24"/>
                <w:highlight w:val="none"/>
              </w:rPr>
              <w:t>职  称</w:t>
            </w:r>
          </w:p>
        </w:tc>
        <w:tc>
          <w:tcPr>
            <w:tcW w:w="913" w:type="dxa"/>
            <w:vAlign w:val="center"/>
          </w:tcPr>
          <w:p>
            <w:pPr>
              <w:pStyle w:val="54"/>
              <w:jc w:val="center"/>
              <w:rPr>
                <w:rFonts w:ascii="宋体"/>
                <w:sz w:val="24"/>
                <w:szCs w:val="24"/>
                <w:highlight w:val="none"/>
              </w:rPr>
            </w:pPr>
          </w:p>
        </w:tc>
        <w:tc>
          <w:tcPr>
            <w:tcW w:w="1787" w:type="dxa"/>
            <w:vAlign w:val="center"/>
          </w:tcPr>
          <w:p>
            <w:pPr>
              <w:pStyle w:val="54"/>
              <w:jc w:val="center"/>
              <w:rPr>
                <w:rFonts w:ascii="宋体"/>
                <w:sz w:val="24"/>
                <w:szCs w:val="24"/>
                <w:highlight w:val="none"/>
              </w:rPr>
            </w:pPr>
            <w:r>
              <w:rPr>
                <w:rFonts w:hint="eastAsia" w:ascii="宋体"/>
                <w:sz w:val="24"/>
                <w:szCs w:val="24"/>
                <w:highlight w:val="none"/>
              </w:rPr>
              <w:t>职称证书编号</w:t>
            </w:r>
          </w:p>
        </w:tc>
        <w:tc>
          <w:tcPr>
            <w:tcW w:w="899" w:type="dxa"/>
            <w:vAlign w:val="center"/>
          </w:tcPr>
          <w:p>
            <w:pPr>
              <w:pStyle w:val="54"/>
              <w:jc w:val="center"/>
              <w:rPr>
                <w:rFonts w:ascii="宋体"/>
                <w:sz w:val="24"/>
                <w:szCs w:val="24"/>
                <w:highlight w:val="none"/>
              </w:rPr>
            </w:pPr>
          </w:p>
        </w:tc>
        <w:tc>
          <w:tcPr>
            <w:tcW w:w="1808" w:type="dxa"/>
            <w:gridSpan w:val="2"/>
            <w:vAlign w:val="center"/>
          </w:tcPr>
          <w:p>
            <w:pPr>
              <w:pStyle w:val="54"/>
              <w:jc w:val="center"/>
              <w:rPr>
                <w:rFonts w:ascii="宋体"/>
                <w:sz w:val="24"/>
                <w:szCs w:val="24"/>
                <w:highlight w:val="none"/>
              </w:rPr>
            </w:pPr>
            <w:r>
              <w:rPr>
                <w:rFonts w:hint="eastAsia" w:ascii="宋体"/>
                <w:sz w:val="24"/>
                <w:szCs w:val="24"/>
                <w:highlight w:val="none"/>
              </w:rPr>
              <w:t>性别</w:t>
            </w:r>
          </w:p>
        </w:tc>
        <w:tc>
          <w:tcPr>
            <w:tcW w:w="2029" w:type="dxa"/>
            <w:vAlign w:val="center"/>
          </w:tcPr>
          <w:p>
            <w:pPr>
              <w:pStyle w:val="54"/>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2" w:type="dxa"/>
            <w:gridSpan w:val="3"/>
            <w:vAlign w:val="center"/>
          </w:tcPr>
          <w:p>
            <w:pPr>
              <w:pStyle w:val="54"/>
              <w:jc w:val="center"/>
              <w:rPr>
                <w:rFonts w:ascii="宋体"/>
                <w:sz w:val="24"/>
                <w:szCs w:val="24"/>
                <w:highlight w:val="none"/>
              </w:rPr>
            </w:pPr>
            <w:r>
              <w:rPr>
                <w:rFonts w:hint="eastAsia" w:ascii="宋体"/>
                <w:sz w:val="24"/>
                <w:szCs w:val="24"/>
                <w:highlight w:val="none"/>
              </w:rPr>
              <w:t>注册建造师执业资格等级</w:t>
            </w:r>
          </w:p>
        </w:tc>
        <w:tc>
          <w:tcPr>
            <w:tcW w:w="899" w:type="dxa"/>
            <w:vAlign w:val="center"/>
          </w:tcPr>
          <w:p>
            <w:pPr>
              <w:pStyle w:val="54"/>
              <w:jc w:val="center"/>
              <w:rPr>
                <w:rFonts w:ascii="宋体"/>
                <w:sz w:val="24"/>
                <w:szCs w:val="24"/>
                <w:highlight w:val="none"/>
              </w:rPr>
            </w:pPr>
            <w:r>
              <w:rPr>
                <w:rFonts w:hint="eastAsia" w:ascii="宋体"/>
                <w:sz w:val="24"/>
                <w:szCs w:val="24"/>
                <w:highlight w:val="none"/>
              </w:rPr>
              <w:t xml:space="preserve">   级</w:t>
            </w:r>
          </w:p>
        </w:tc>
        <w:tc>
          <w:tcPr>
            <w:tcW w:w="1808" w:type="dxa"/>
            <w:gridSpan w:val="2"/>
            <w:vAlign w:val="center"/>
          </w:tcPr>
          <w:p>
            <w:pPr>
              <w:pStyle w:val="54"/>
              <w:jc w:val="center"/>
              <w:rPr>
                <w:rFonts w:ascii="宋体"/>
                <w:sz w:val="24"/>
                <w:szCs w:val="24"/>
                <w:highlight w:val="none"/>
              </w:rPr>
            </w:pPr>
            <w:r>
              <w:rPr>
                <w:rFonts w:hint="eastAsia" w:ascii="宋体"/>
                <w:sz w:val="24"/>
                <w:szCs w:val="24"/>
                <w:highlight w:val="none"/>
              </w:rPr>
              <w:t>建造师专业</w:t>
            </w:r>
          </w:p>
        </w:tc>
        <w:tc>
          <w:tcPr>
            <w:tcW w:w="2029" w:type="dxa"/>
            <w:vAlign w:val="center"/>
          </w:tcPr>
          <w:p>
            <w:pPr>
              <w:pStyle w:val="54"/>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3912" w:type="dxa"/>
            <w:gridSpan w:val="3"/>
            <w:vAlign w:val="center"/>
          </w:tcPr>
          <w:p>
            <w:pPr>
              <w:pStyle w:val="54"/>
              <w:spacing w:line="560" w:lineRule="exact"/>
              <w:jc w:val="center"/>
              <w:rPr>
                <w:rFonts w:ascii="宋体"/>
                <w:sz w:val="24"/>
                <w:szCs w:val="24"/>
                <w:highlight w:val="none"/>
              </w:rPr>
            </w:pPr>
            <w:r>
              <w:rPr>
                <w:rFonts w:hint="eastAsia" w:ascii="宋体"/>
                <w:sz w:val="24"/>
                <w:szCs w:val="24"/>
                <w:highlight w:val="none"/>
              </w:rPr>
              <w:t>建造师注册证书号</w:t>
            </w:r>
          </w:p>
        </w:tc>
        <w:tc>
          <w:tcPr>
            <w:tcW w:w="899" w:type="dxa"/>
            <w:vAlign w:val="center"/>
          </w:tcPr>
          <w:p>
            <w:pPr>
              <w:pStyle w:val="54"/>
              <w:jc w:val="center"/>
              <w:rPr>
                <w:rFonts w:ascii="宋体"/>
                <w:sz w:val="24"/>
                <w:szCs w:val="24"/>
                <w:highlight w:val="none"/>
              </w:rPr>
            </w:pPr>
          </w:p>
        </w:tc>
        <w:tc>
          <w:tcPr>
            <w:tcW w:w="1808" w:type="dxa"/>
            <w:gridSpan w:val="2"/>
            <w:vAlign w:val="center"/>
          </w:tcPr>
          <w:p>
            <w:pPr>
              <w:pStyle w:val="54"/>
              <w:jc w:val="center"/>
              <w:rPr>
                <w:rFonts w:ascii="宋体"/>
                <w:sz w:val="24"/>
                <w:szCs w:val="24"/>
                <w:highlight w:val="none"/>
              </w:rPr>
            </w:pPr>
            <w:r>
              <w:rPr>
                <w:rFonts w:hint="eastAsia" w:ascii="宋体"/>
                <w:sz w:val="24"/>
                <w:szCs w:val="24"/>
                <w:highlight w:val="none"/>
              </w:rPr>
              <w:t>安全生产考核合格证书</w:t>
            </w:r>
          </w:p>
        </w:tc>
        <w:tc>
          <w:tcPr>
            <w:tcW w:w="2029" w:type="dxa"/>
            <w:vAlign w:val="center"/>
          </w:tcPr>
          <w:p>
            <w:pPr>
              <w:pStyle w:val="54"/>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12" w:type="dxa"/>
            <w:gridSpan w:val="3"/>
            <w:vAlign w:val="center"/>
          </w:tcPr>
          <w:p>
            <w:pPr>
              <w:pStyle w:val="54"/>
              <w:jc w:val="center"/>
              <w:rPr>
                <w:rFonts w:ascii="宋体"/>
                <w:sz w:val="24"/>
                <w:szCs w:val="24"/>
                <w:highlight w:val="none"/>
              </w:rPr>
            </w:pPr>
            <w:r>
              <w:rPr>
                <w:rFonts w:hint="eastAsia" w:ascii="宋体"/>
                <w:sz w:val="24"/>
                <w:szCs w:val="24"/>
                <w:highlight w:val="none"/>
              </w:rPr>
              <w:t>手机号码</w:t>
            </w:r>
          </w:p>
        </w:tc>
        <w:tc>
          <w:tcPr>
            <w:tcW w:w="899" w:type="dxa"/>
            <w:tcBorders>
              <w:right w:val="single" w:color="auto" w:sz="4" w:space="0"/>
            </w:tcBorders>
            <w:vAlign w:val="center"/>
          </w:tcPr>
          <w:p>
            <w:pPr>
              <w:pStyle w:val="54"/>
              <w:jc w:val="center"/>
              <w:rPr>
                <w:rFonts w:ascii="宋体"/>
                <w:sz w:val="24"/>
                <w:szCs w:val="24"/>
                <w:highlight w:val="none"/>
              </w:rPr>
            </w:pPr>
          </w:p>
        </w:tc>
        <w:tc>
          <w:tcPr>
            <w:tcW w:w="1808" w:type="dxa"/>
            <w:gridSpan w:val="2"/>
            <w:tcBorders>
              <w:left w:val="single" w:color="auto" w:sz="4" w:space="0"/>
              <w:right w:val="single" w:color="auto" w:sz="4" w:space="0"/>
            </w:tcBorders>
            <w:vAlign w:val="center"/>
          </w:tcPr>
          <w:p>
            <w:pPr>
              <w:pStyle w:val="54"/>
              <w:jc w:val="center"/>
              <w:rPr>
                <w:rFonts w:ascii="宋体"/>
                <w:sz w:val="24"/>
                <w:szCs w:val="24"/>
                <w:highlight w:val="none"/>
              </w:rPr>
            </w:pPr>
            <w:r>
              <w:rPr>
                <w:rFonts w:hint="eastAsia" w:ascii="宋体"/>
                <w:sz w:val="24"/>
                <w:szCs w:val="24"/>
                <w:highlight w:val="none"/>
              </w:rPr>
              <w:t>最高学历</w:t>
            </w:r>
          </w:p>
        </w:tc>
        <w:tc>
          <w:tcPr>
            <w:tcW w:w="2029" w:type="dxa"/>
            <w:tcBorders>
              <w:left w:val="single" w:color="auto" w:sz="4" w:space="0"/>
            </w:tcBorders>
            <w:vAlign w:val="center"/>
          </w:tcPr>
          <w:p>
            <w:pPr>
              <w:pStyle w:val="54"/>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212" w:type="dxa"/>
            <w:vAlign w:val="center"/>
          </w:tcPr>
          <w:p>
            <w:pPr>
              <w:pStyle w:val="54"/>
              <w:jc w:val="center"/>
              <w:rPr>
                <w:rFonts w:ascii="宋体"/>
                <w:sz w:val="24"/>
                <w:szCs w:val="24"/>
                <w:highlight w:val="none"/>
              </w:rPr>
            </w:pPr>
            <w:r>
              <w:rPr>
                <w:rFonts w:hint="eastAsia" w:ascii="宋体"/>
                <w:sz w:val="24"/>
                <w:szCs w:val="24"/>
                <w:highlight w:val="none"/>
              </w:rPr>
              <w:t>毕业学校</w:t>
            </w:r>
          </w:p>
        </w:tc>
        <w:tc>
          <w:tcPr>
            <w:tcW w:w="7436" w:type="dxa"/>
            <w:gridSpan w:val="6"/>
            <w:vAlign w:val="center"/>
          </w:tcPr>
          <w:p>
            <w:pPr>
              <w:pStyle w:val="54"/>
              <w:ind w:firstLine="960" w:firstLineChars="400"/>
              <w:rPr>
                <w:rFonts w:ascii="宋体"/>
                <w:sz w:val="24"/>
                <w:szCs w:val="24"/>
                <w:highlight w:val="none"/>
              </w:rPr>
            </w:pPr>
            <w:r>
              <w:rPr>
                <w:rFonts w:hint="eastAsia" w:ascii="宋体"/>
                <w:sz w:val="24"/>
                <w:szCs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48" w:type="dxa"/>
            <w:gridSpan w:val="7"/>
            <w:vAlign w:val="center"/>
          </w:tcPr>
          <w:p>
            <w:pPr>
              <w:pStyle w:val="54"/>
              <w:jc w:val="center"/>
              <w:rPr>
                <w:rFonts w:ascii="宋体"/>
                <w:sz w:val="24"/>
                <w:szCs w:val="24"/>
                <w:highlight w:val="none"/>
              </w:rPr>
            </w:pPr>
            <w:r>
              <w:rPr>
                <w:rFonts w:hint="eastAsia" w:ascii="宋体"/>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2" w:type="dxa"/>
            <w:vAlign w:val="center"/>
          </w:tcPr>
          <w:p>
            <w:pPr>
              <w:pStyle w:val="54"/>
              <w:jc w:val="center"/>
              <w:rPr>
                <w:rFonts w:ascii="宋体"/>
                <w:sz w:val="24"/>
                <w:szCs w:val="24"/>
                <w:highlight w:val="none"/>
              </w:rPr>
            </w:pPr>
            <w:r>
              <w:rPr>
                <w:rFonts w:hint="eastAsia" w:ascii="宋体"/>
                <w:sz w:val="24"/>
                <w:szCs w:val="24"/>
                <w:highlight w:val="none"/>
              </w:rPr>
              <w:t>时  间</w:t>
            </w:r>
          </w:p>
        </w:tc>
        <w:tc>
          <w:tcPr>
            <w:tcW w:w="3599" w:type="dxa"/>
            <w:gridSpan w:val="3"/>
            <w:vAlign w:val="center"/>
          </w:tcPr>
          <w:p>
            <w:pPr>
              <w:pStyle w:val="54"/>
              <w:jc w:val="center"/>
              <w:rPr>
                <w:rFonts w:ascii="宋体"/>
                <w:sz w:val="24"/>
                <w:szCs w:val="24"/>
                <w:highlight w:val="none"/>
              </w:rPr>
            </w:pPr>
            <w:r>
              <w:rPr>
                <w:rFonts w:hint="eastAsia" w:ascii="宋体"/>
                <w:sz w:val="24"/>
                <w:szCs w:val="24"/>
                <w:highlight w:val="none"/>
              </w:rPr>
              <w:t>参加过的类似项目名称</w:t>
            </w:r>
          </w:p>
        </w:tc>
        <w:tc>
          <w:tcPr>
            <w:tcW w:w="1705" w:type="dxa"/>
            <w:vAlign w:val="center"/>
          </w:tcPr>
          <w:p>
            <w:pPr>
              <w:pStyle w:val="54"/>
              <w:jc w:val="center"/>
              <w:rPr>
                <w:rFonts w:ascii="宋体"/>
                <w:sz w:val="24"/>
                <w:szCs w:val="24"/>
                <w:highlight w:val="none"/>
              </w:rPr>
            </w:pPr>
            <w:r>
              <w:rPr>
                <w:rFonts w:hint="eastAsia" w:ascii="宋体"/>
                <w:sz w:val="24"/>
                <w:szCs w:val="24"/>
                <w:highlight w:val="none"/>
              </w:rPr>
              <w:t>工程概况说明</w:t>
            </w:r>
          </w:p>
        </w:tc>
        <w:tc>
          <w:tcPr>
            <w:tcW w:w="2132" w:type="dxa"/>
            <w:gridSpan w:val="2"/>
            <w:vAlign w:val="center"/>
          </w:tcPr>
          <w:p>
            <w:pPr>
              <w:pStyle w:val="54"/>
              <w:jc w:val="center"/>
              <w:rPr>
                <w:rFonts w:ascii="宋体"/>
                <w:sz w:val="24"/>
                <w:szCs w:val="24"/>
                <w:highlight w:val="none"/>
              </w:rPr>
            </w:pPr>
            <w:r>
              <w:rPr>
                <w:rFonts w:hint="eastAsia" w:ascii="宋体"/>
                <w:sz w:val="24"/>
                <w:szCs w:val="24"/>
                <w:highlight w:val="none"/>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2" w:type="dxa"/>
            <w:vAlign w:val="center"/>
          </w:tcPr>
          <w:p>
            <w:pPr>
              <w:pStyle w:val="54"/>
              <w:jc w:val="center"/>
              <w:rPr>
                <w:rFonts w:ascii="宋体"/>
                <w:sz w:val="24"/>
                <w:szCs w:val="24"/>
                <w:highlight w:val="none"/>
              </w:rPr>
            </w:pPr>
          </w:p>
        </w:tc>
        <w:tc>
          <w:tcPr>
            <w:tcW w:w="3599" w:type="dxa"/>
            <w:gridSpan w:val="3"/>
            <w:vAlign w:val="center"/>
          </w:tcPr>
          <w:p>
            <w:pPr>
              <w:pStyle w:val="54"/>
              <w:jc w:val="center"/>
              <w:rPr>
                <w:rFonts w:ascii="宋体"/>
                <w:sz w:val="24"/>
                <w:szCs w:val="24"/>
                <w:highlight w:val="none"/>
              </w:rPr>
            </w:pPr>
          </w:p>
        </w:tc>
        <w:tc>
          <w:tcPr>
            <w:tcW w:w="1705" w:type="dxa"/>
            <w:vAlign w:val="center"/>
          </w:tcPr>
          <w:p>
            <w:pPr>
              <w:pStyle w:val="54"/>
              <w:jc w:val="center"/>
              <w:rPr>
                <w:rFonts w:ascii="宋体"/>
                <w:sz w:val="24"/>
                <w:szCs w:val="24"/>
                <w:highlight w:val="none"/>
              </w:rPr>
            </w:pPr>
          </w:p>
        </w:tc>
        <w:tc>
          <w:tcPr>
            <w:tcW w:w="2132" w:type="dxa"/>
            <w:gridSpan w:val="2"/>
            <w:vAlign w:val="center"/>
          </w:tcPr>
          <w:p>
            <w:pPr>
              <w:pStyle w:val="54"/>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2" w:type="dxa"/>
            <w:vAlign w:val="center"/>
          </w:tcPr>
          <w:p>
            <w:pPr>
              <w:pStyle w:val="54"/>
              <w:jc w:val="center"/>
              <w:rPr>
                <w:rFonts w:ascii="宋体"/>
                <w:sz w:val="24"/>
                <w:szCs w:val="24"/>
                <w:highlight w:val="none"/>
              </w:rPr>
            </w:pPr>
          </w:p>
        </w:tc>
        <w:tc>
          <w:tcPr>
            <w:tcW w:w="3599" w:type="dxa"/>
            <w:gridSpan w:val="3"/>
            <w:vAlign w:val="center"/>
          </w:tcPr>
          <w:p>
            <w:pPr>
              <w:pStyle w:val="54"/>
              <w:jc w:val="center"/>
              <w:rPr>
                <w:rFonts w:ascii="宋体"/>
                <w:sz w:val="24"/>
                <w:szCs w:val="24"/>
                <w:highlight w:val="none"/>
              </w:rPr>
            </w:pPr>
          </w:p>
        </w:tc>
        <w:tc>
          <w:tcPr>
            <w:tcW w:w="1705" w:type="dxa"/>
            <w:vAlign w:val="center"/>
          </w:tcPr>
          <w:p>
            <w:pPr>
              <w:pStyle w:val="54"/>
              <w:jc w:val="center"/>
              <w:rPr>
                <w:rFonts w:ascii="宋体"/>
                <w:sz w:val="24"/>
                <w:szCs w:val="24"/>
                <w:highlight w:val="none"/>
              </w:rPr>
            </w:pPr>
          </w:p>
        </w:tc>
        <w:tc>
          <w:tcPr>
            <w:tcW w:w="2132" w:type="dxa"/>
            <w:gridSpan w:val="2"/>
            <w:vAlign w:val="center"/>
          </w:tcPr>
          <w:p>
            <w:pPr>
              <w:pStyle w:val="54"/>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2" w:type="dxa"/>
            <w:vAlign w:val="center"/>
          </w:tcPr>
          <w:p>
            <w:pPr>
              <w:pStyle w:val="54"/>
              <w:jc w:val="center"/>
              <w:rPr>
                <w:rFonts w:ascii="宋体"/>
                <w:sz w:val="24"/>
                <w:szCs w:val="24"/>
                <w:highlight w:val="none"/>
              </w:rPr>
            </w:pPr>
          </w:p>
        </w:tc>
        <w:tc>
          <w:tcPr>
            <w:tcW w:w="3599" w:type="dxa"/>
            <w:gridSpan w:val="3"/>
            <w:vAlign w:val="center"/>
          </w:tcPr>
          <w:p>
            <w:pPr>
              <w:pStyle w:val="54"/>
              <w:jc w:val="center"/>
              <w:rPr>
                <w:rFonts w:ascii="宋体"/>
                <w:sz w:val="24"/>
                <w:szCs w:val="24"/>
                <w:highlight w:val="none"/>
              </w:rPr>
            </w:pPr>
          </w:p>
        </w:tc>
        <w:tc>
          <w:tcPr>
            <w:tcW w:w="1705" w:type="dxa"/>
            <w:vAlign w:val="center"/>
          </w:tcPr>
          <w:p>
            <w:pPr>
              <w:pStyle w:val="54"/>
              <w:jc w:val="center"/>
              <w:rPr>
                <w:rFonts w:ascii="宋体"/>
                <w:sz w:val="24"/>
                <w:szCs w:val="24"/>
                <w:highlight w:val="none"/>
              </w:rPr>
            </w:pPr>
          </w:p>
        </w:tc>
        <w:tc>
          <w:tcPr>
            <w:tcW w:w="2132" w:type="dxa"/>
            <w:gridSpan w:val="2"/>
            <w:vAlign w:val="center"/>
          </w:tcPr>
          <w:p>
            <w:pPr>
              <w:pStyle w:val="54"/>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2" w:type="dxa"/>
            <w:vAlign w:val="center"/>
          </w:tcPr>
          <w:p>
            <w:pPr>
              <w:pStyle w:val="54"/>
              <w:jc w:val="center"/>
              <w:rPr>
                <w:rFonts w:ascii="宋体"/>
                <w:sz w:val="24"/>
                <w:szCs w:val="24"/>
                <w:highlight w:val="none"/>
              </w:rPr>
            </w:pPr>
          </w:p>
        </w:tc>
        <w:tc>
          <w:tcPr>
            <w:tcW w:w="3599" w:type="dxa"/>
            <w:gridSpan w:val="3"/>
            <w:vAlign w:val="center"/>
          </w:tcPr>
          <w:p>
            <w:pPr>
              <w:pStyle w:val="54"/>
              <w:jc w:val="center"/>
              <w:rPr>
                <w:rFonts w:ascii="宋体"/>
                <w:sz w:val="24"/>
                <w:szCs w:val="24"/>
                <w:highlight w:val="none"/>
              </w:rPr>
            </w:pPr>
          </w:p>
        </w:tc>
        <w:tc>
          <w:tcPr>
            <w:tcW w:w="1705" w:type="dxa"/>
            <w:vAlign w:val="center"/>
          </w:tcPr>
          <w:p>
            <w:pPr>
              <w:pStyle w:val="54"/>
              <w:jc w:val="center"/>
              <w:rPr>
                <w:rFonts w:ascii="宋体"/>
                <w:sz w:val="24"/>
                <w:szCs w:val="24"/>
                <w:highlight w:val="none"/>
              </w:rPr>
            </w:pPr>
          </w:p>
        </w:tc>
        <w:tc>
          <w:tcPr>
            <w:tcW w:w="2132" w:type="dxa"/>
            <w:gridSpan w:val="2"/>
            <w:vAlign w:val="center"/>
          </w:tcPr>
          <w:p>
            <w:pPr>
              <w:pStyle w:val="54"/>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2" w:type="dxa"/>
            <w:vAlign w:val="center"/>
          </w:tcPr>
          <w:p>
            <w:pPr>
              <w:pStyle w:val="54"/>
              <w:jc w:val="center"/>
              <w:rPr>
                <w:rFonts w:ascii="宋体"/>
                <w:sz w:val="24"/>
                <w:szCs w:val="24"/>
                <w:highlight w:val="none"/>
              </w:rPr>
            </w:pPr>
          </w:p>
        </w:tc>
        <w:tc>
          <w:tcPr>
            <w:tcW w:w="3599" w:type="dxa"/>
            <w:gridSpan w:val="3"/>
            <w:vAlign w:val="center"/>
          </w:tcPr>
          <w:p>
            <w:pPr>
              <w:pStyle w:val="54"/>
              <w:jc w:val="center"/>
              <w:rPr>
                <w:rFonts w:ascii="宋体"/>
                <w:sz w:val="24"/>
                <w:szCs w:val="24"/>
                <w:highlight w:val="none"/>
              </w:rPr>
            </w:pPr>
          </w:p>
        </w:tc>
        <w:tc>
          <w:tcPr>
            <w:tcW w:w="1705" w:type="dxa"/>
            <w:vAlign w:val="center"/>
          </w:tcPr>
          <w:p>
            <w:pPr>
              <w:pStyle w:val="54"/>
              <w:jc w:val="center"/>
              <w:rPr>
                <w:rFonts w:ascii="宋体"/>
                <w:sz w:val="24"/>
                <w:szCs w:val="24"/>
                <w:highlight w:val="none"/>
              </w:rPr>
            </w:pPr>
          </w:p>
        </w:tc>
        <w:tc>
          <w:tcPr>
            <w:tcW w:w="2132" w:type="dxa"/>
            <w:gridSpan w:val="2"/>
            <w:vAlign w:val="center"/>
          </w:tcPr>
          <w:p>
            <w:pPr>
              <w:pStyle w:val="54"/>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2" w:type="dxa"/>
            <w:vAlign w:val="center"/>
          </w:tcPr>
          <w:p>
            <w:pPr>
              <w:pStyle w:val="54"/>
              <w:jc w:val="center"/>
              <w:rPr>
                <w:rFonts w:ascii="宋体"/>
                <w:sz w:val="24"/>
                <w:szCs w:val="24"/>
                <w:highlight w:val="none"/>
              </w:rPr>
            </w:pPr>
          </w:p>
        </w:tc>
        <w:tc>
          <w:tcPr>
            <w:tcW w:w="3599" w:type="dxa"/>
            <w:gridSpan w:val="3"/>
            <w:vAlign w:val="center"/>
          </w:tcPr>
          <w:p>
            <w:pPr>
              <w:pStyle w:val="54"/>
              <w:jc w:val="center"/>
              <w:rPr>
                <w:rFonts w:ascii="宋体"/>
                <w:sz w:val="24"/>
                <w:szCs w:val="24"/>
                <w:highlight w:val="none"/>
              </w:rPr>
            </w:pPr>
          </w:p>
        </w:tc>
        <w:tc>
          <w:tcPr>
            <w:tcW w:w="1705" w:type="dxa"/>
            <w:vAlign w:val="center"/>
          </w:tcPr>
          <w:p>
            <w:pPr>
              <w:pStyle w:val="54"/>
              <w:jc w:val="center"/>
              <w:rPr>
                <w:rFonts w:ascii="宋体"/>
                <w:sz w:val="24"/>
                <w:szCs w:val="24"/>
                <w:highlight w:val="none"/>
              </w:rPr>
            </w:pPr>
          </w:p>
        </w:tc>
        <w:tc>
          <w:tcPr>
            <w:tcW w:w="2132" w:type="dxa"/>
            <w:gridSpan w:val="2"/>
            <w:vAlign w:val="center"/>
          </w:tcPr>
          <w:p>
            <w:pPr>
              <w:pStyle w:val="54"/>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2" w:type="dxa"/>
            <w:vAlign w:val="center"/>
          </w:tcPr>
          <w:p>
            <w:pPr>
              <w:pStyle w:val="54"/>
              <w:jc w:val="center"/>
              <w:rPr>
                <w:rFonts w:ascii="宋体"/>
                <w:sz w:val="24"/>
                <w:szCs w:val="24"/>
                <w:highlight w:val="none"/>
              </w:rPr>
            </w:pPr>
          </w:p>
        </w:tc>
        <w:tc>
          <w:tcPr>
            <w:tcW w:w="3599" w:type="dxa"/>
            <w:gridSpan w:val="3"/>
            <w:vAlign w:val="center"/>
          </w:tcPr>
          <w:p>
            <w:pPr>
              <w:pStyle w:val="54"/>
              <w:jc w:val="center"/>
              <w:rPr>
                <w:rFonts w:ascii="宋体"/>
                <w:sz w:val="24"/>
                <w:szCs w:val="24"/>
                <w:highlight w:val="none"/>
              </w:rPr>
            </w:pPr>
          </w:p>
        </w:tc>
        <w:tc>
          <w:tcPr>
            <w:tcW w:w="1705" w:type="dxa"/>
            <w:vAlign w:val="center"/>
          </w:tcPr>
          <w:p>
            <w:pPr>
              <w:pStyle w:val="54"/>
              <w:jc w:val="center"/>
              <w:rPr>
                <w:rFonts w:ascii="宋体"/>
                <w:sz w:val="24"/>
                <w:szCs w:val="24"/>
                <w:highlight w:val="none"/>
              </w:rPr>
            </w:pPr>
          </w:p>
        </w:tc>
        <w:tc>
          <w:tcPr>
            <w:tcW w:w="2132" w:type="dxa"/>
            <w:gridSpan w:val="2"/>
            <w:vAlign w:val="center"/>
          </w:tcPr>
          <w:p>
            <w:pPr>
              <w:pStyle w:val="54"/>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12" w:type="dxa"/>
            <w:vAlign w:val="center"/>
          </w:tcPr>
          <w:p>
            <w:pPr>
              <w:pStyle w:val="54"/>
              <w:jc w:val="center"/>
              <w:rPr>
                <w:rFonts w:ascii="宋体"/>
                <w:sz w:val="24"/>
                <w:szCs w:val="24"/>
                <w:highlight w:val="none"/>
              </w:rPr>
            </w:pPr>
          </w:p>
        </w:tc>
        <w:tc>
          <w:tcPr>
            <w:tcW w:w="3599" w:type="dxa"/>
            <w:gridSpan w:val="3"/>
            <w:vAlign w:val="center"/>
          </w:tcPr>
          <w:p>
            <w:pPr>
              <w:pStyle w:val="54"/>
              <w:jc w:val="center"/>
              <w:rPr>
                <w:rFonts w:ascii="宋体"/>
                <w:sz w:val="24"/>
                <w:szCs w:val="24"/>
                <w:highlight w:val="none"/>
              </w:rPr>
            </w:pPr>
          </w:p>
        </w:tc>
        <w:tc>
          <w:tcPr>
            <w:tcW w:w="1705" w:type="dxa"/>
            <w:vAlign w:val="center"/>
          </w:tcPr>
          <w:p>
            <w:pPr>
              <w:pStyle w:val="54"/>
              <w:jc w:val="center"/>
              <w:rPr>
                <w:rFonts w:ascii="宋体"/>
                <w:sz w:val="24"/>
                <w:szCs w:val="24"/>
                <w:highlight w:val="none"/>
              </w:rPr>
            </w:pPr>
          </w:p>
        </w:tc>
        <w:tc>
          <w:tcPr>
            <w:tcW w:w="2132" w:type="dxa"/>
            <w:gridSpan w:val="2"/>
            <w:vAlign w:val="center"/>
          </w:tcPr>
          <w:p>
            <w:pPr>
              <w:pStyle w:val="54"/>
              <w:jc w:val="center"/>
              <w:rPr>
                <w:rFonts w:ascii="宋体"/>
                <w:sz w:val="24"/>
                <w:szCs w:val="24"/>
                <w:highlight w:val="none"/>
              </w:rPr>
            </w:pPr>
          </w:p>
        </w:tc>
      </w:tr>
    </w:tbl>
    <w:p>
      <w:pPr>
        <w:pStyle w:val="67"/>
        <w:spacing w:line="360" w:lineRule="auto"/>
        <w:ind w:left="63" w:right="63" w:firstLine="0"/>
        <w:rPr>
          <w:rFonts w:ascii="宋体"/>
          <w:sz w:val="24"/>
          <w:highlight w:val="none"/>
        </w:rPr>
      </w:pPr>
      <w:r>
        <w:rPr>
          <w:rFonts w:hint="eastAsia" w:ascii="宋体"/>
          <w:sz w:val="24"/>
          <w:highlight w:val="none"/>
        </w:rPr>
        <w:t xml:space="preserve">                           </w:t>
      </w:r>
    </w:p>
    <w:p>
      <w:pPr>
        <w:pStyle w:val="67"/>
        <w:spacing w:line="360" w:lineRule="auto"/>
        <w:ind w:left="63" w:right="63" w:firstLine="0"/>
        <w:jc w:val="center"/>
        <w:rPr>
          <w:rFonts w:ascii="宋体"/>
          <w:sz w:val="24"/>
          <w:highlight w:val="none"/>
        </w:rPr>
      </w:pPr>
      <w:r>
        <w:rPr>
          <w:rFonts w:hint="eastAsia" w:ascii="宋体"/>
          <w:sz w:val="24"/>
          <w:highlight w:val="none"/>
        </w:rPr>
        <w:t xml:space="preserve">            投标人：</w:t>
      </w:r>
      <w:r>
        <w:rPr>
          <w:rFonts w:hint="eastAsia" w:ascii="宋体"/>
          <w:sz w:val="24"/>
          <w:highlight w:val="none"/>
          <w:u w:val="single"/>
        </w:rPr>
        <w:t xml:space="preserve">                  </w:t>
      </w:r>
      <w:r>
        <w:rPr>
          <w:rFonts w:hint="eastAsia" w:ascii="宋体"/>
          <w:sz w:val="24"/>
          <w:highlight w:val="none"/>
        </w:rPr>
        <w:t>(盖单位公章)</w:t>
      </w:r>
    </w:p>
    <w:p>
      <w:pPr>
        <w:pStyle w:val="54"/>
        <w:rPr>
          <w:rFonts w:ascii="宋体"/>
          <w:sz w:val="24"/>
          <w:szCs w:val="24"/>
          <w:highlight w:val="none"/>
        </w:rPr>
      </w:pPr>
    </w:p>
    <w:p>
      <w:pPr>
        <w:spacing w:line="380" w:lineRule="exact"/>
        <w:jc w:val="center"/>
        <w:outlineLvl w:val="0"/>
        <w:rPr>
          <w:rFonts w:ascii="宋体" w:hAnsi="宋体" w:cs="宋体"/>
          <w:sz w:val="36"/>
          <w:szCs w:val="36"/>
          <w:highlight w:val="none"/>
        </w:rPr>
      </w:pPr>
      <w:r>
        <w:rPr>
          <w:highlight w:val="none"/>
        </w:rPr>
        <w:br w:type="page"/>
      </w:r>
      <w:bookmarkStart w:id="237" w:name="_Toc40254154"/>
      <w:bookmarkStart w:id="238" w:name="_Toc10039737"/>
      <w:bookmarkStart w:id="239" w:name="_Toc28866"/>
      <w:bookmarkStart w:id="240" w:name="_Toc26994"/>
      <w:r>
        <w:rPr>
          <w:rFonts w:hint="eastAsia" w:ascii="宋体" w:hAnsi="宋体"/>
          <w:b/>
          <w:sz w:val="36"/>
          <w:highlight w:val="none"/>
        </w:rPr>
        <w:t>8  拟派出项目技术负责人简要情况表</w:t>
      </w:r>
      <w:bookmarkEnd w:id="237"/>
      <w:bookmarkEnd w:id="238"/>
      <w:bookmarkEnd w:id="239"/>
      <w:bookmarkEnd w:id="240"/>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034"/>
        <w:gridCol w:w="1486"/>
        <w:gridCol w:w="1200"/>
        <w:gridCol w:w="1711"/>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vAlign w:val="center"/>
          </w:tcPr>
          <w:p>
            <w:pPr>
              <w:pStyle w:val="49"/>
              <w:jc w:val="center"/>
              <w:rPr>
                <w:rFonts w:ascii="宋体"/>
                <w:sz w:val="24"/>
                <w:szCs w:val="24"/>
                <w:highlight w:val="none"/>
              </w:rPr>
            </w:pPr>
            <w:r>
              <w:rPr>
                <w:rFonts w:hint="eastAsia" w:ascii="宋体"/>
                <w:sz w:val="24"/>
                <w:szCs w:val="24"/>
                <w:highlight w:val="none"/>
              </w:rPr>
              <w:t>姓  名</w:t>
            </w:r>
          </w:p>
        </w:tc>
        <w:tc>
          <w:tcPr>
            <w:tcW w:w="1034" w:type="dxa"/>
            <w:vAlign w:val="center"/>
          </w:tcPr>
          <w:p>
            <w:pPr>
              <w:pStyle w:val="49"/>
              <w:jc w:val="center"/>
              <w:rPr>
                <w:rFonts w:ascii="宋体"/>
                <w:sz w:val="24"/>
                <w:szCs w:val="24"/>
                <w:highlight w:val="none"/>
              </w:rPr>
            </w:pPr>
          </w:p>
        </w:tc>
        <w:tc>
          <w:tcPr>
            <w:tcW w:w="1486" w:type="dxa"/>
            <w:vAlign w:val="center"/>
          </w:tcPr>
          <w:p>
            <w:pPr>
              <w:pStyle w:val="49"/>
              <w:jc w:val="center"/>
              <w:rPr>
                <w:rFonts w:ascii="宋体"/>
                <w:sz w:val="24"/>
                <w:szCs w:val="24"/>
                <w:highlight w:val="none"/>
              </w:rPr>
            </w:pPr>
            <w:r>
              <w:rPr>
                <w:rFonts w:hint="eastAsia" w:ascii="宋体"/>
                <w:sz w:val="24"/>
                <w:szCs w:val="24"/>
                <w:highlight w:val="none"/>
              </w:rPr>
              <w:t>身份证号码</w:t>
            </w:r>
          </w:p>
        </w:tc>
        <w:tc>
          <w:tcPr>
            <w:tcW w:w="5043" w:type="dxa"/>
            <w:gridSpan w:val="3"/>
            <w:vAlign w:val="center"/>
          </w:tcPr>
          <w:p>
            <w:pPr>
              <w:pStyle w:val="49"/>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tcBorders>
              <w:right w:val="single" w:color="auto" w:sz="4" w:space="0"/>
            </w:tcBorders>
            <w:vAlign w:val="center"/>
          </w:tcPr>
          <w:p>
            <w:pPr>
              <w:pStyle w:val="49"/>
              <w:jc w:val="center"/>
              <w:rPr>
                <w:rFonts w:ascii="宋体"/>
                <w:sz w:val="24"/>
                <w:szCs w:val="24"/>
                <w:highlight w:val="none"/>
              </w:rPr>
            </w:pPr>
            <w:r>
              <w:rPr>
                <w:rFonts w:hint="eastAsia" w:ascii="宋体"/>
                <w:sz w:val="24"/>
                <w:szCs w:val="24"/>
                <w:highlight w:val="none"/>
              </w:rPr>
              <w:t>职  称</w:t>
            </w:r>
          </w:p>
        </w:tc>
        <w:tc>
          <w:tcPr>
            <w:tcW w:w="1034" w:type="dxa"/>
            <w:tcBorders>
              <w:left w:val="single" w:color="auto" w:sz="4" w:space="0"/>
            </w:tcBorders>
            <w:vAlign w:val="center"/>
          </w:tcPr>
          <w:p>
            <w:pPr>
              <w:pStyle w:val="49"/>
              <w:jc w:val="center"/>
              <w:rPr>
                <w:rFonts w:ascii="宋体"/>
                <w:sz w:val="24"/>
                <w:szCs w:val="24"/>
                <w:highlight w:val="none"/>
              </w:rPr>
            </w:pPr>
          </w:p>
        </w:tc>
        <w:tc>
          <w:tcPr>
            <w:tcW w:w="1486" w:type="dxa"/>
            <w:vAlign w:val="center"/>
          </w:tcPr>
          <w:p>
            <w:pPr>
              <w:pStyle w:val="49"/>
              <w:jc w:val="center"/>
              <w:rPr>
                <w:rFonts w:ascii="宋体"/>
                <w:sz w:val="24"/>
                <w:szCs w:val="24"/>
                <w:highlight w:val="none"/>
              </w:rPr>
            </w:pPr>
            <w:r>
              <w:rPr>
                <w:rFonts w:hint="eastAsia" w:ascii="宋体"/>
                <w:sz w:val="24"/>
                <w:szCs w:val="24"/>
                <w:highlight w:val="none"/>
              </w:rPr>
              <w:t>职  务</w:t>
            </w:r>
          </w:p>
        </w:tc>
        <w:tc>
          <w:tcPr>
            <w:tcW w:w="1200" w:type="dxa"/>
            <w:vAlign w:val="center"/>
          </w:tcPr>
          <w:p>
            <w:pPr>
              <w:pStyle w:val="49"/>
              <w:jc w:val="center"/>
              <w:rPr>
                <w:rFonts w:ascii="宋体"/>
                <w:sz w:val="24"/>
                <w:szCs w:val="24"/>
                <w:highlight w:val="none"/>
              </w:rPr>
            </w:pPr>
          </w:p>
        </w:tc>
        <w:tc>
          <w:tcPr>
            <w:tcW w:w="1711" w:type="dxa"/>
            <w:vAlign w:val="center"/>
          </w:tcPr>
          <w:p>
            <w:pPr>
              <w:pStyle w:val="49"/>
              <w:jc w:val="center"/>
              <w:rPr>
                <w:rFonts w:ascii="宋体"/>
                <w:sz w:val="24"/>
                <w:szCs w:val="24"/>
                <w:highlight w:val="none"/>
              </w:rPr>
            </w:pPr>
            <w:r>
              <w:rPr>
                <w:rFonts w:hint="eastAsia" w:ascii="宋体"/>
                <w:sz w:val="24"/>
                <w:szCs w:val="24"/>
                <w:highlight w:val="none"/>
              </w:rPr>
              <w:t>性别</w:t>
            </w:r>
          </w:p>
        </w:tc>
        <w:tc>
          <w:tcPr>
            <w:tcW w:w="2132" w:type="dxa"/>
            <w:vAlign w:val="center"/>
          </w:tcPr>
          <w:p>
            <w:pPr>
              <w:pStyle w:val="49"/>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3616" w:type="dxa"/>
            <w:gridSpan w:val="3"/>
            <w:tcBorders>
              <w:right w:val="single" w:color="auto" w:sz="4" w:space="0"/>
            </w:tcBorders>
            <w:vAlign w:val="center"/>
          </w:tcPr>
          <w:p>
            <w:pPr>
              <w:pStyle w:val="49"/>
              <w:spacing w:line="400" w:lineRule="exact"/>
              <w:jc w:val="center"/>
              <w:rPr>
                <w:rFonts w:ascii="宋体"/>
                <w:sz w:val="24"/>
                <w:szCs w:val="24"/>
                <w:highlight w:val="none"/>
              </w:rPr>
            </w:pPr>
            <w:r>
              <w:rPr>
                <w:rFonts w:hint="eastAsia" w:ascii="宋体"/>
                <w:sz w:val="24"/>
                <w:szCs w:val="24"/>
                <w:highlight w:val="none"/>
              </w:rPr>
              <w:t>技术职称情况</w:t>
            </w:r>
          </w:p>
          <w:p>
            <w:pPr>
              <w:pStyle w:val="49"/>
              <w:spacing w:line="400" w:lineRule="exact"/>
              <w:jc w:val="center"/>
              <w:rPr>
                <w:rFonts w:ascii="宋体"/>
                <w:sz w:val="24"/>
                <w:szCs w:val="24"/>
                <w:highlight w:val="none"/>
              </w:rPr>
            </w:pPr>
            <w:r>
              <w:rPr>
                <w:rFonts w:hint="eastAsia" w:ascii="宋体"/>
                <w:sz w:val="24"/>
                <w:szCs w:val="24"/>
                <w:highlight w:val="none"/>
              </w:rPr>
              <w:t>（职称专业、证书编号、发证机关等）</w:t>
            </w:r>
          </w:p>
        </w:tc>
        <w:tc>
          <w:tcPr>
            <w:tcW w:w="5043" w:type="dxa"/>
            <w:gridSpan w:val="3"/>
            <w:tcBorders>
              <w:left w:val="single" w:color="auto" w:sz="4" w:space="0"/>
            </w:tcBorders>
            <w:vAlign w:val="center"/>
          </w:tcPr>
          <w:p>
            <w:pPr>
              <w:pStyle w:val="49"/>
              <w:spacing w:line="560" w:lineRule="exact"/>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16" w:type="dxa"/>
            <w:gridSpan w:val="3"/>
            <w:vAlign w:val="center"/>
          </w:tcPr>
          <w:p>
            <w:pPr>
              <w:pStyle w:val="49"/>
              <w:spacing w:line="560" w:lineRule="exact"/>
              <w:jc w:val="center"/>
              <w:rPr>
                <w:rFonts w:ascii="宋体"/>
                <w:sz w:val="24"/>
                <w:szCs w:val="24"/>
                <w:highlight w:val="none"/>
              </w:rPr>
            </w:pPr>
            <w:r>
              <w:rPr>
                <w:rFonts w:hint="eastAsia" w:ascii="宋体"/>
                <w:sz w:val="24"/>
                <w:szCs w:val="24"/>
                <w:highlight w:val="none"/>
              </w:rPr>
              <w:t>最高学历</w:t>
            </w:r>
          </w:p>
        </w:tc>
        <w:tc>
          <w:tcPr>
            <w:tcW w:w="1200" w:type="dxa"/>
            <w:vAlign w:val="center"/>
          </w:tcPr>
          <w:p>
            <w:pPr>
              <w:pStyle w:val="49"/>
              <w:jc w:val="center"/>
              <w:rPr>
                <w:rFonts w:ascii="宋体"/>
                <w:sz w:val="24"/>
                <w:szCs w:val="24"/>
                <w:highlight w:val="none"/>
              </w:rPr>
            </w:pPr>
          </w:p>
        </w:tc>
        <w:tc>
          <w:tcPr>
            <w:tcW w:w="1711" w:type="dxa"/>
            <w:vAlign w:val="center"/>
          </w:tcPr>
          <w:p>
            <w:pPr>
              <w:pStyle w:val="49"/>
              <w:jc w:val="center"/>
              <w:rPr>
                <w:rFonts w:ascii="宋体"/>
                <w:sz w:val="24"/>
                <w:szCs w:val="24"/>
                <w:highlight w:val="none"/>
              </w:rPr>
            </w:pPr>
            <w:r>
              <w:rPr>
                <w:rFonts w:hint="eastAsia" w:ascii="宋体"/>
                <w:sz w:val="24"/>
                <w:szCs w:val="24"/>
                <w:highlight w:val="none"/>
              </w:rPr>
              <w:t>手机号码</w:t>
            </w:r>
          </w:p>
        </w:tc>
        <w:tc>
          <w:tcPr>
            <w:tcW w:w="2132" w:type="dxa"/>
            <w:vAlign w:val="center"/>
          </w:tcPr>
          <w:p>
            <w:pPr>
              <w:pStyle w:val="49"/>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vAlign w:val="center"/>
          </w:tcPr>
          <w:p>
            <w:pPr>
              <w:pStyle w:val="49"/>
              <w:jc w:val="center"/>
              <w:rPr>
                <w:rFonts w:ascii="宋体"/>
                <w:sz w:val="24"/>
                <w:szCs w:val="24"/>
                <w:highlight w:val="none"/>
              </w:rPr>
            </w:pPr>
            <w:r>
              <w:rPr>
                <w:rFonts w:hint="eastAsia" w:ascii="宋体"/>
                <w:sz w:val="24"/>
                <w:szCs w:val="24"/>
                <w:highlight w:val="none"/>
              </w:rPr>
              <w:t>毕业学校</w:t>
            </w:r>
          </w:p>
        </w:tc>
        <w:tc>
          <w:tcPr>
            <w:tcW w:w="7563" w:type="dxa"/>
            <w:gridSpan w:val="5"/>
            <w:vAlign w:val="center"/>
          </w:tcPr>
          <w:p>
            <w:pPr>
              <w:pStyle w:val="49"/>
              <w:ind w:firstLine="960" w:firstLineChars="400"/>
              <w:rPr>
                <w:rFonts w:ascii="宋体"/>
                <w:sz w:val="24"/>
                <w:szCs w:val="24"/>
                <w:highlight w:val="none"/>
              </w:rPr>
            </w:pPr>
            <w:r>
              <w:rPr>
                <w:rFonts w:hint="eastAsia" w:ascii="宋体"/>
                <w:sz w:val="24"/>
                <w:szCs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9" w:type="dxa"/>
            <w:gridSpan w:val="6"/>
            <w:vAlign w:val="center"/>
          </w:tcPr>
          <w:p>
            <w:pPr>
              <w:pStyle w:val="49"/>
              <w:jc w:val="center"/>
              <w:rPr>
                <w:rFonts w:ascii="宋体"/>
                <w:sz w:val="24"/>
                <w:szCs w:val="24"/>
                <w:highlight w:val="none"/>
              </w:rPr>
            </w:pPr>
            <w:r>
              <w:rPr>
                <w:rFonts w:hint="eastAsia" w:ascii="宋体"/>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6" w:type="dxa"/>
            <w:vAlign w:val="center"/>
          </w:tcPr>
          <w:p>
            <w:pPr>
              <w:pStyle w:val="49"/>
              <w:jc w:val="center"/>
              <w:rPr>
                <w:rFonts w:ascii="宋体"/>
                <w:sz w:val="24"/>
                <w:szCs w:val="24"/>
                <w:highlight w:val="none"/>
              </w:rPr>
            </w:pPr>
            <w:r>
              <w:rPr>
                <w:rFonts w:hint="eastAsia" w:ascii="宋体"/>
                <w:sz w:val="24"/>
                <w:szCs w:val="24"/>
                <w:highlight w:val="none"/>
              </w:rPr>
              <w:t>时  间</w:t>
            </w:r>
          </w:p>
        </w:tc>
        <w:tc>
          <w:tcPr>
            <w:tcW w:w="3720" w:type="dxa"/>
            <w:gridSpan w:val="3"/>
            <w:vAlign w:val="center"/>
          </w:tcPr>
          <w:p>
            <w:pPr>
              <w:pStyle w:val="49"/>
              <w:jc w:val="center"/>
              <w:rPr>
                <w:rFonts w:ascii="宋体"/>
                <w:sz w:val="24"/>
                <w:szCs w:val="24"/>
                <w:highlight w:val="none"/>
              </w:rPr>
            </w:pPr>
            <w:r>
              <w:rPr>
                <w:rFonts w:hint="eastAsia" w:ascii="宋体"/>
                <w:sz w:val="24"/>
                <w:szCs w:val="24"/>
                <w:highlight w:val="none"/>
              </w:rPr>
              <w:t>参加过的类似项目名称</w:t>
            </w:r>
          </w:p>
        </w:tc>
        <w:tc>
          <w:tcPr>
            <w:tcW w:w="1711" w:type="dxa"/>
            <w:vAlign w:val="center"/>
          </w:tcPr>
          <w:p>
            <w:pPr>
              <w:pStyle w:val="49"/>
              <w:jc w:val="center"/>
              <w:rPr>
                <w:rFonts w:ascii="宋体"/>
                <w:sz w:val="24"/>
                <w:szCs w:val="24"/>
                <w:highlight w:val="none"/>
              </w:rPr>
            </w:pPr>
            <w:r>
              <w:rPr>
                <w:rFonts w:hint="eastAsia" w:ascii="宋体"/>
                <w:sz w:val="24"/>
                <w:szCs w:val="24"/>
                <w:highlight w:val="none"/>
              </w:rPr>
              <w:t>工程概况说明</w:t>
            </w:r>
          </w:p>
        </w:tc>
        <w:tc>
          <w:tcPr>
            <w:tcW w:w="2132" w:type="dxa"/>
            <w:vAlign w:val="center"/>
          </w:tcPr>
          <w:p>
            <w:pPr>
              <w:pStyle w:val="49"/>
              <w:jc w:val="center"/>
              <w:rPr>
                <w:rFonts w:ascii="宋体"/>
                <w:sz w:val="24"/>
                <w:szCs w:val="24"/>
                <w:highlight w:val="none"/>
              </w:rPr>
            </w:pPr>
            <w:r>
              <w:rPr>
                <w:rFonts w:hint="eastAsia" w:ascii="宋体"/>
                <w:sz w:val="24"/>
                <w:szCs w:val="24"/>
                <w:highlight w:val="none"/>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6" w:type="dxa"/>
            <w:vAlign w:val="center"/>
          </w:tcPr>
          <w:p>
            <w:pPr>
              <w:pStyle w:val="49"/>
              <w:jc w:val="center"/>
              <w:rPr>
                <w:rFonts w:ascii="宋体"/>
                <w:sz w:val="24"/>
                <w:szCs w:val="24"/>
                <w:highlight w:val="none"/>
              </w:rPr>
            </w:pPr>
          </w:p>
        </w:tc>
        <w:tc>
          <w:tcPr>
            <w:tcW w:w="3720" w:type="dxa"/>
            <w:gridSpan w:val="3"/>
            <w:vAlign w:val="center"/>
          </w:tcPr>
          <w:p>
            <w:pPr>
              <w:pStyle w:val="49"/>
              <w:jc w:val="center"/>
              <w:rPr>
                <w:rFonts w:ascii="宋体"/>
                <w:sz w:val="24"/>
                <w:szCs w:val="24"/>
                <w:highlight w:val="none"/>
              </w:rPr>
            </w:pPr>
          </w:p>
        </w:tc>
        <w:tc>
          <w:tcPr>
            <w:tcW w:w="1711" w:type="dxa"/>
            <w:vAlign w:val="center"/>
          </w:tcPr>
          <w:p>
            <w:pPr>
              <w:pStyle w:val="49"/>
              <w:jc w:val="center"/>
              <w:rPr>
                <w:rFonts w:ascii="宋体"/>
                <w:sz w:val="24"/>
                <w:szCs w:val="24"/>
                <w:highlight w:val="none"/>
              </w:rPr>
            </w:pPr>
          </w:p>
        </w:tc>
        <w:tc>
          <w:tcPr>
            <w:tcW w:w="2132" w:type="dxa"/>
            <w:vAlign w:val="center"/>
          </w:tcPr>
          <w:p>
            <w:pPr>
              <w:pStyle w:val="49"/>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6" w:type="dxa"/>
            <w:vAlign w:val="center"/>
          </w:tcPr>
          <w:p>
            <w:pPr>
              <w:pStyle w:val="49"/>
              <w:jc w:val="center"/>
              <w:rPr>
                <w:rFonts w:ascii="宋体"/>
                <w:sz w:val="24"/>
                <w:szCs w:val="24"/>
                <w:highlight w:val="none"/>
              </w:rPr>
            </w:pPr>
          </w:p>
        </w:tc>
        <w:tc>
          <w:tcPr>
            <w:tcW w:w="3720" w:type="dxa"/>
            <w:gridSpan w:val="3"/>
            <w:vAlign w:val="center"/>
          </w:tcPr>
          <w:p>
            <w:pPr>
              <w:pStyle w:val="49"/>
              <w:jc w:val="center"/>
              <w:rPr>
                <w:rFonts w:ascii="宋体"/>
                <w:sz w:val="24"/>
                <w:szCs w:val="24"/>
                <w:highlight w:val="none"/>
              </w:rPr>
            </w:pPr>
          </w:p>
        </w:tc>
        <w:tc>
          <w:tcPr>
            <w:tcW w:w="1711" w:type="dxa"/>
            <w:vAlign w:val="center"/>
          </w:tcPr>
          <w:p>
            <w:pPr>
              <w:pStyle w:val="49"/>
              <w:jc w:val="center"/>
              <w:rPr>
                <w:rFonts w:ascii="宋体"/>
                <w:sz w:val="24"/>
                <w:szCs w:val="24"/>
                <w:highlight w:val="none"/>
              </w:rPr>
            </w:pPr>
          </w:p>
        </w:tc>
        <w:tc>
          <w:tcPr>
            <w:tcW w:w="2132" w:type="dxa"/>
            <w:vAlign w:val="center"/>
          </w:tcPr>
          <w:p>
            <w:pPr>
              <w:pStyle w:val="49"/>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6" w:type="dxa"/>
            <w:vAlign w:val="center"/>
          </w:tcPr>
          <w:p>
            <w:pPr>
              <w:pStyle w:val="49"/>
              <w:jc w:val="center"/>
              <w:rPr>
                <w:rFonts w:ascii="宋体"/>
                <w:sz w:val="24"/>
                <w:szCs w:val="24"/>
                <w:highlight w:val="none"/>
              </w:rPr>
            </w:pPr>
          </w:p>
        </w:tc>
        <w:tc>
          <w:tcPr>
            <w:tcW w:w="3720" w:type="dxa"/>
            <w:gridSpan w:val="3"/>
            <w:vAlign w:val="center"/>
          </w:tcPr>
          <w:p>
            <w:pPr>
              <w:pStyle w:val="49"/>
              <w:jc w:val="center"/>
              <w:rPr>
                <w:rFonts w:ascii="宋体"/>
                <w:sz w:val="24"/>
                <w:szCs w:val="24"/>
                <w:highlight w:val="none"/>
              </w:rPr>
            </w:pPr>
          </w:p>
        </w:tc>
        <w:tc>
          <w:tcPr>
            <w:tcW w:w="1711" w:type="dxa"/>
            <w:vAlign w:val="center"/>
          </w:tcPr>
          <w:p>
            <w:pPr>
              <w:pStyle w:val="49"/>
              <w:jc w:val="center"/>
              <w:rPr>
                <w:rFonts w:ascii="宋体"/>
                <w:sz w:val="24"/>
                <w:szCs w:val="24"/>
                <w:highlight w:val="none"/>
              </w:rPr>
            </w:pPr>
          </w:p>
        </w:tc>
        <w:tc>
          <w:tcPr>
            <w:tcW w:w="2132" w:type="dxa"/>
            <w:vAlign w:val="center"/>
          </w:tcPr>
          <w:p>
            <w:pPr>
              <w:pStyle w:val="49"/>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6" w:type="dxa"/>
            <w:vAlign w:val="center"/>
          </w:tcPr>
          <w:p>
            <w:pPr>
              <w:pStyle w:val="49"/>
              <w:jc w:val="center"/>
              <w:rPr>
                <w:rFonts w:ascii="宋体"/>
                <w:sz w:val="24"/>
                <w:szCs w:val="24"/>
                <w:highlight w:val="none"/>
              </w:rPr>
            </w:pPr>
          </w:p>
        </w:tc>
        <w:tc>
          <w:tcPr>
            <w:tcW w:w="3720" w:type="dxa"/>
            <w:gridSpan w:val="3"/>
            <w:vAlign w:val="center"/>
          </w:tcPr>
          <w:p>
            <w:pPr>
              <w:pStyle w:val="49"/>
              <w:jc w:val="center"/>
              <w:rPr>
                <w:rFonts w:ascii="宋体"/>
                <w:sz w:val="24"/>
                <w:szCs w:val="24"/>
                <w:highlight w:val="none"/>
              </w:rPr>
            </w:pPr>
          </w:p>
        </w:tc>
        <w:tc>
          <w:tcPr>
            <w:tcW w:w="1711" w:type="dxa"/>
            <w:vAlign w:val="center"/>
          </w:tcPr>
          <w:p>
            <w:pPr>
              <w:pStyle w:val="49"/>
              <w:jc w:val="center"/>
              <w:rPr>
                <w:rFonts w:ascii="宋体"/>
                <w:sz w:val="24"/>
                <w:szCs w:val="24"/>
                <w:highlight w:val="none"/>
              </w:rPr>
            </w:pPr>
          </w:p>
        </w:tc>
        <w:tc>
          <w:tcPr>
            <w:tcW w:w="2132" w:type="dxa"/>
            <w:vAlign w:val="center"/>
          </w:tcPr>
          <w:p>
            <w:pPr>
              <w:pStyle w:val="49"/>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6" w:type="dxa"/>
            <w:vAlign w:val="center"/>
          </w:tcPr>
          <w:p>
            <w:pPr>
              <w:pStyle w:val="49"/>
              <w:jc w:val="center"/>
              <w:rPr>
                <w:rFonts w:ascii="宋体"/>
                <w:sz w:val="24"/>
                <w:szCs w:val="24"/>
                <w:highlight w:val="none"/>
              </w:rPr>
            </w:pPr>
          </w:p>
        </w:tc>
        <w:tc>
          <w:tcPr>
            <w:tcW w:w="3720" w:type="dxa"/>
            <w:gridSpan w:val="3"/>
            <w:vAlign w:val="center"/>
          </w:tcPr>
          <w:p>
            <w:pPr>
              <w:pStyle w:val="49"/>
              <w:jc w:val="center"/>
              <w:rPr>
                <w:rFonts w:ascii="宋体"/>
                <w:sz w:val="24"/>
                <w:szCs w:val="24"/>
                <w:highlight w:val="none"/>
              </w:rPr>
            </w:pPr>
          </w:p>
        </w:tc>
        <w:tc>
          <w:tcPr>
            <w:tcW w:w="1711" w:type="dxa"/>
            <w:vAlign w:val="center"/>
          </w:tcPr>
          <w:p>
            <w:pPr>
              <w:pStyle w:val="49"/>
              <w:jc w:val="center"/>
              <w:rPr>
                <w:rFonts w:ascii="宋体"/>
                <w:sz w:val="24"/>
                <w:szCs w:val="24"/>
                <w:highlight w:val="none"/>
              </w:rPr>
            </w:pPr>
          </w:p>
        </w:tc>
        <w:tc>
          <w:tcPr>
            <w:tcW w:w="2132" w:type="dxa"/>
            <w:vAlign w:val="center"/>
          </w:tcPr>
          <w:p>
            <w:pPr>
              <w:pStyle w:val="49"/>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6" w:type="dxa"/>
            <w:vAlign w:val="center"/>
          </w:tcPr>
          <w:p>
            <w:pPr>
              <w:pStyle w:val="49"/>
              <w:jc w:val="center"/>
              <w:rPr>
                <w:rFonts w:ascii="宋体"/>
                <w:sz w:val="24"/>
                <w:szCs w:val="24"/>
                <w:highlight w:val="none"/>
              </w:rPr>
            </w:pPr>
          </w:p>
        </w:tc>
        <w:tc>
          <w:tcPr>
            <w:tcW w:w="3720" w:type="dxa"/>
            <w:gridSpan w:val="3"/>
            <w:vAlign w:val="center"/>
          </w:tcPr>
          <w:p>
            <w:pPr>
              <w:pStyle w:val="49"/>
              <w:jc w:val="center"/>
              <w:rPr>
                <w:rFonts w:ascii="宋体"/>
                <w:sz w:val="24"/>
                <w:szCs w:val="24"/>
                <w:highlight w:val="none"/>
              </w:rPr>
            </w:pPr>
          </w:p>
        </w:tc>
        <w:tc>
          <w:tcPr>
            <w:tcW w:w="1711" w:type="dxa"/>
            <w:vAlign w:val="center"/>
          </w:tcPr>
          <w:p>
            <w:pPr>
              <w:pStyle w:val="49"/>
              <w:jc w:val="center"/>
              <w:rPr>
                <w:rFonts w:ascii="宋体"/>
                <w:sz w:val="24"/>
                <w:szCs w:val="24"/>
                <w:highlight w:val="none"/>
              </w:rPr>
            </w:pPr>
          </w:p>
        </w:tc>
        <w:tc>
          <w:tcPr>
            <w:tcW w:w="2132" w:type="dxa"/>
            <w:vAlign w:val="center"/>
          </w:tcPr>
          <w:p>
            <w:pPr>
              <w:pStyle w:val="49"/>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6" w:type="dxa"/>
            <w:vAlign w:val="center"/>
          </w:tcPr>
          <w:p>
            <w:pPr>
              <w:pStyle w:val="49"/>
              <w:jc w:val="center"/>
              <w:rPr>
                <w:rFonts w:ascii="宋体"/>
                <w:sz w:val="24"/>
                <w:szCs w:val="24"/>
                <w:highlight w:val="none"/>
              </w:rPr>
            </w:pPr>
          </w:p>
        </w:tc>
        <w:tc>
          <w:tcPr>
            <w:tcW w:w="3720" w:type="dxa"/>
            <w:gridSpan w:val="3"/>
            <w:vAlign w:val="center"/>
          </w:tcPr>
          <w:p>
            <w:pPr>
              <w:pStyle w:val="49"/>
              <w:jc w:val="center"/>
              <w:rPr>
                <w:rFonts w:ascii="宋体"/>
                <w:sz w:val="24"/>
                <w:szCs w:val="24"/>
                <w:highlight w:val="none"/>
              </w:rPr>
            </w:pPr>
          </w:p>
        </w:tc>
        <w:tc>
          <w:tcPr>
            <w:tcW w:w="1711" w:type="dxa"/>
            <w:vAlign w:val="center"/>
          </w:tcPr>
          <w:p>
            <w:pPr>
              <w:pStyle w:val="49"/>
              <w:jc w:val="center"/>
              <w:rPr>
                <w:rFonts w:ascii="宋体"/>
                <w:sz w:val="24"/>
                <w:szCs w:val="24"/>
                <w:highlight w:val="none"/>
              </w:rPr>
            </w:pPr>
          </w:p>
        </w:tc>
        <w:tc>
          <w:tcPr>
            <w:tcW w:w="2132" w:type="dxa"/>
            <w:vAlign w:val="center"/>
          </w:tcPr>
          <w:p>
            <w:pPr>
              <w:pStyle w:val="49"/>
              <w:jc w:val="center"/>
              <w:rPr>
                <w:rFonts w:asci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6" w:type="dxa"/>
            <w:vAlign w:val="center"/>
          </w:tcPr>
          <w:p>
            <w:pPr>
              <w:pStyle w:val="49"/>
              <w:jc w:val="center"/>
              <w:rPr>
                <w:rFonts w:ascii="宋体"/>
                <w:sz w:val="24"/>
                <w:szCs w:val="24"/>
                <w:highlight w:val="none"/>
              </w:rPr>
            </w:pPr>
          </w:p>
        </w:tc>
        <w:tc>
          <w:tcPr>
            <w:tcW w:w="3720" w:type="dxa"/>
            <w:gridSpan w:val="3"/>
            <w:vAlign w:val="center"/>
          </w:tcPr>
          <w:p>
            <w:pPr>
              <w:pStyle w:val="49"/>
              <w:jc w:val="center"/>
              <w:rPr>
                <w:rFonts w:ascii="宋体"/>
                <w:sz w:val="24"/>
                <w:szCs w:val="24"/>
                <w:highlight w:val="none"/>
              </w:rPr>
            </w:pPr>
          </w:p>
        </w:tc>
        <w:tc>
          <w:tcPr>
            <w:tcW w:w="1711" w:type="dxa"/>
            <w:vAlign w:val="center"/>
          </w:tcPr>
          <w:p>
            <w:pPr>
              <w:pStyle w:val="49"/>
              <w:jc w:val="center"/>
              <w:rPr>
                <w:rFonts w:ascii="宋体"/>
                <w:sz w:val="24"/>
                <w:szCs w:val="24"/>
                <w:highlight w:val="none"/>
              </w:rPr>
            </w:pPr>
          </w:p>
        </w:tc>
        <w:tc>
          <w:tcPr>
            <w:tcW w:w="2132" w:type="dxa"/>
            <w:vAlign w:val="center"/>
          </w:tcPr>
          <w:p>
            <w:pPr>
              <w:pStyle w:val="49"/>
              <w:jc w:val="center"/>
              <w:rPr>
                <w:rFonts w:ascii="宋体"/>
                <w:sz w:val="24"/>
                <w:szCs w:val="24"/>
                <w:highlight w:val="none"/>
              </w:rPr>
            </w:pPr>
          </w:p>
        </w:tc>
      </w:tr>
    </w:tbl>
    <w:p>
      <w:pPr>
        <w:pStyle w:val="49"/>
        <w:tabs>
          <w:tab w:val="left" w:pos="0"/>
          <w:tab w:val="left" w:pos="567"/>
          <w:tab w:val="left" w:pos="993"/>
          <w:tab w:val="left" w:pos="1134"/>
        </w:tabs>
        <w:snapToGrid w:val="0"/>
        <w:spacing w:before="156" w:beforeLines="50" w:line="300" w:lineRule="auto"/>
        <w:jc w:val="center"/>
        <w:rPr>
          <w:rFonts w:ascii="宋体"/>
          <w:b/>
          <w:sz w:val="30"/>
          <w:highlight w:val="none"/>
        </w:rPr>
      </w:pPr>
    </w:p>
    <w:p>
      <w:pPr>
        <w:pStyle w:val="49"/>
        <w:rPr>
          <w:rFonts w:ascii="宋体"/>
          <w:sz w:val="24"/>
          <w:szCs w:val="24"/>
          <w:highlight w:val="none"/>
        </w:rPr>
      </w:pPr>
      <w:r>
        <w:rPr>
          <w:rFonts w:hint="eastAsia"/>
          <w:highlight w:val="none"/>
        </w:rPr>
        <w:t xml:space="preserve">                                </w:t>
      </w:r>
      <w:r>
        <w:rPr>
          <w:rFonts w:hint="eastAsia" w:ascii="宋体"/>
          <w:sz w:val="24"/>
          <w:szCs w:val="24"/>
          <w:highlight w:val="none"/>
        </w:rPr>
        <w:t xml:space="preserve"> 投标人：</w:t>
      </w:r>
      <w:r>
        <w:rPr>
          <w:rFonts w:hint="eastAsia" w:ascii="宋体"/>
          <w:sz w:val="24"/>
          <w:szCs w:val="24"/>
          <w:highlight w:val="none"/>
          <w:u w:val="single"/>
        </w:rPr>
        <w:t xml:space="preserve">                  </w:t>
      </w:r>
      <w:r>
        <w:rPr>
          <w:rFonts w:hint="eastAsia" w:ascii="宋体"/>
          <w:sz w:val="24"/>
          <w:szCs w:val="24"/>
          <w:highlight w:val="none"/>
        </w:rPr>
        <w:t>(盖单位公章)</w:t>
      </w:r>
    </w:p>
    <w:p>
      <w:pPr>
        <w:pStyle w:val="49"/>
        <w:rPr>
          <w:rFonts w:ascii="宋体"/>
          <w:sz w:val="24"/>
          <w:szCs w:val="24"/>
          <w:highlight w:val="none"/>
        </w:rPr>
      </w:pPr>
    </w:p>
    <w:p>
      <w:pPr>
        <w:spacing w:line="380" w:lineRule="exact"/>
        <w:jc w:val="center"/>
        <w:outlineLvl w:val="0"/>
        <w:rPr>
          <w:rFonts w:ascii="宋体" w:hAnsi="宋体" w:cs="宋体"/>
          <w:sz w:val="36"/>
          <w:szCs w:val="36"/>
          <w:highlight w:val="none"/>
        </w:rPr>
      </w:pPr>
      <w:r>
        <w:rPr>
          <w:highlight w:val="none"/>
        </w:rPr>
        <w:br w:type="page"/>
      </w:r>
      <w:bookmarkStart w:id="241" w:name="_Toc14481"/>
      <w:bookmarkStart w:id="242" w:name="_Toc10039738"/>
      <w:bookmarkStart w:id="243" w:name="_Toc40254155"/>
      <w:bookmarkStart w:id="244" w:name="_Toc9017"/>
      <w:r>
        <w:rPr>
          <w:rFonts w:hint="eastAsia" w:ascii="宋体" w:hAnsi="宋体"/>
          <w:b/>
          <w:sz w:val="36"/>
          <w:highlight w:val="none"/>
        </w:rPr>
        <w:t>9  项目部施工管理人员到位承诺书</w:t>
      </w:r>
      <w:bookmarkEnd w:id="241"/>
      <w:bookmarkEnd w:id="242"/>
      <w:bookmarkEnd w:id="243"/>
      <w:bookmarkEnd w:id="244"/>
    </w:p>
    <w:p>
      <w:pPr>
        <w:pStyle w:val="85"/>
        <w:tabs>
          <w:tab w:val="center" w:pos="4507"/>
        </w:tabs>
        <w:spacing w:line="360" w:lineRule="auto"/>
        <w:ind w:firstLine="240" w:firstLineChars="100"/>
        <w:rPr>
          <w:rFonts w:ascii="宋体"/>
          <w:sz w:val="24"/>
          <w:highlight w:val="none"/>
          <w:u w:val="single"/>
        </w:rPr>
      </w:pPr>
    </w:p>
    <w:p>
      <w:pPr>
        <w:pStyle w:val="85"/>
        <w:spacing w:line="460" w:lineRule="exact"/>
        <w:rPr>
          <w:rFonts w:ascii="宋体"/>
          <w:sz w:val="24"/>
          <w:highlight w:val="none"/>
        </w:rPr>
      </w:pPr>
      <w:r>
        <w:rPr>
          <w:rFonts w:hint="eastAsia" w:ascii="宋体"/>
          <w:sz w:val="24"/>
          <w:highlight w:val="none"/>
        </w:rPr>
        <w:t xml:space="preserve"> </w:t>
      </w:r>
      <w:r>
        <w:rPr>
          <w:rFonts w:hint="eastAsia" w:ascii="宋体"/>
          <w:sz w:val="24"/>
          <w:highlight w:val="none"/>
          <w:u w:val="single"/>
        </w:rPr>
        <w:t xml:space="preserve">                  （招标人名称）</w:t>
      </w:r>
      <w:r>
        <w:rPr>
          <w:rFonts w:hint="eastAsia" w:ascii="宋体"/>
          <w:sz w:val="24"/>
          <w:highlight w:val="none"/>
        </w:rPr>
        <w:t>：</w:t>
      </w:r>
    </w:p>
    <w:p>
      <w:pPr>
        <w:pStyle w:val="85"/>
        <w:spacing w:line="460" w:lineRule="exact"/>
        <w:ind w:firstLine="645"/>
        <w:rPr>
          <w:rFonts w:ascii="宋体"/>
          <w:sz w:val="24"/>
          <w:highlight w:val="none"/>
        </w:rPr>
      </w:pPr>
      <w:r>
        <w:rPr>
          <w:rFonts w:hint="eastAsia" w:ascii="宋体"/>
          <w:sz w:val="24"/>
          <w:highlight w:val="none"/>
        </w:rPr>
        <w:t>本人</w:t>
      </w:r>
      <w:r>
        <w:rPr>
          <w:rFonts w:hint="eastAsia" w:ascii="宋体"/>
          <w:sz w:val="24"/>
          <w:highlight w:val="none"/>
          <w:u w:val="single"/>
        </w:rPr>
        <w:t xml:space="preserve">         （姓名）</w:t>
      </w:r>
      <w:r>
        <w:rPr>
          <w:rFonts w:hint="eastAsia" w:ascii="宋体"/>
          <w:sz w:val="24"/>
          <w:highlight w:val="none"/>
        </w:rPr>
        <w:t>系</w:t>
      </w:r>
      <w:r>
        <w:rPr>
          <w:rFonts w:hint="eastAsia" w:ascii="宋体"/>
          <w:sz w:val="24"/>
          <w:highlight w:val="none"/>
          <w:u w:val="single"/>
        </w:rPr>
        <w:t xml:space="preserve">                      （投标人名称）</w:t>
      </w:r>
      <w:r>
        <w:rPr>
          <w:rFonts w:hint="eastAsia" w:ascii="宋体"/>
          <w:sz w:val="24"/>
          <w:highlight w:val="none"/>
        </w:rPr>
        <w:t>的法定代表人，现承诺：</w:t>
      </w:r>
    </w:p>
    <w:p>
      <w:pPr>
        <w:pStyle w:val="85"/>
        <w:spacing w:line="460" w:lineRule="exact"/>
        <w:ind w:firstLine="645"/>
        <w:rPr>
          <w:rFonts w:ascii="宋体"/>
          <w:sz w:val="24"/>
          <w:highlight w:val="none"/>
        </w:rPr>
      </w:pPr>
      <w:r>
        <w:rPr>
          <w:rFonts w:hint="eastAsia" w:ascii="宋体"/>
          <w:sz w:val="24"/>
          <w:highlight w:val="none"/>
        </w:rPr>
        <w:t>我单位在</w:t>
      </w:r>
      <w:r>
        <w:rPr>
          <w:rFonts w:hint="eastAsia" w:ascii="宋体"/>
          <w:sz w:val="24"/>
          <w:highlight w:val="none"/>
          <w:u w:val="single"/>
        </w:rPr>
        <w:t xml:space="preserve">                   （项目名称及标段） </w:t>
      </w:r>
      <w:r>
        <w:rPr>
          <w:rFonts w:hint="eastAsia" w:ascii="宋体"/>
          <w:sz w:val="24"/>
          <w:highlight w:val="none"/>
        </w:rPr>
        <w:t>中标后，按照投标文件的承诺派出项目负责人和项目技术负责人，并按照福建省现行的项目施工管理人员配备的要求，配备其他相应管理人员。若不能按投标文件承诺的项目部施工管理人员到位的，愿意无条件地接受招标人作出的以下处理：</w:t>
      </w:r>
    </w:p>
    <w:p>
      <w:pPr>
        <w:pStyle w:val="85"/>
        <w:spacing w:line="460" w:lineRule="exact"/>
        <w:ind w:firstLine="645"/>
        <w:rPr>
          <w:rFonts w:ascii="宋体"/>
          <w:sz w:val="24"/>
          <w:highlight w:val="none"/>
        </w:rPr>
      </w:pPr>
      <w:r>
        <w:rPr>
          <w:rFonts w:hint="eastAsia" w:ascii="宋体"/>
          <w:sz w:val="24"/>
          <w:highlight w:val="none"/>
        </w:rPr>
        <w:t>1、工程开工前，不论是否存在不可抗力原因,项目部施工管理人员不能全部通过</w:t>
      </w:r>
      <w:r>
        <w:rPr>
          <w:highlight w:val="none"/>
        </w:rPr>
        <w:fldChar w:fldCharType="begin"/>
      </w:r>
      <w:r>
        <w:rPr>
          <w:highlight w:val="none"/>
        </w:rPr>
        <w:instrText xml:space="preserve"> HYPERLINK "http://117.27.135.5:7043/fjjsgczajzz/" </w:instrText>
      </w:r>
      <w:r>
        <w:rPr>
          <w:highlight w:val="none"/>
        </w:rPr>
        <w:fldChar w:fldCharType="separate"/>
      </w:r>
      <w:r>
        <w:rPr>
          <w:rFonts w:hint="eastAsia" w:ascii="宋体"/>
          <w:sz w:val="24"/>
          <w:highlight w:val="none"/>
        </w:rPr>
        <w:t>福建省工程项目建设监管系统</w:t>
      </w:r>
      <w:r>
        <w:rPr>
          <w:rFonts w:hint="eastAsia" w:ascii="宋体"/>
          <w:sz w:val="24"/>
          <w:highlight w:val="none"/>
        </w:rPr>
        <w:fldChar w:fldCharType="end"/>
      </w:r>
      <w:r>
        <w:rPr>
          <w:rFonts w:hint="eastAsia" w:ascii="宋体"/>
          <w:sz w:val="24"/>
          <w:highlight w:val="none"/>
        </w:rPr>
        <w:t>备案的，招标人有权解除合同并按违约追究我方责任；</w:t>
      </w:r>
    </w:p>
    <w:p>
      <w:pPr>
        <w:pStyle w:val="85"/>
        <w:spacing w:line="460" w:lineRule="exact"/>
        <w:ind w:firstLine="645"/>
        <w:rPr>
          <w:rFonts w:ascii="宋体"/>
          <w:sz w:val="24"/>
          <w:highlight w:val="none"/>
        </w:rPr>
      </w:pPr>
      <w:r>
        <w:rPr>
          <w:rFonts w:hint="eastAsia" w:ascii="宋体"/>
          <w:sz w:val="24"/>
          <w:highlight w:val="none"/>
        </w:rPr>
        <w:t>2、工程开工后，除不可抗力外,我单位变更项目部施工管理人员中的项目负责人或项目技术负责人，</w:t>
      </w:r>
      <w:r>
        <w:rPr>
          <w:rFonts w:hint="eastAsia" w:ascii="宋体" w:hAnsi="宋体" w:cs="宋体"/>
          <w:sz w:val="24"/>
          <w:highlight w:val="none"/>
        </w:rPr>
        <w:t>我公司将接受招标人按照本招标文件和合同约定的处罚，并承担全部责任。</w:t>
      </w:r>
    </w:p>
    <w:p>
      <w:pPr>
        <w:pStyle w:val="85"/>
        <w:tabs>
          <w:tab w:val="left" w:pos="100"/>
          <w:tab w:val="left" w:pos="700"/>
        </w:tabs>
        <w:spacing w:line="320" w:lineRule="exact"/>
        <w:ind w:firstLine="315" w:firstLineChars="150"/>
        <w:rPr>
          <w:rFonts w:ascii="宋体"/>
          <w:szCs w:val="21"/>
          <w:highlight w:val="none"/>
        </w:rPr>
      </w:pPr>
    </w:p>
    <w:p>
      <w:pPr>
        <w:pStyle w:val="85"/>
        <w:tabs>
          <w:tab w:val="left" w:pos="100"/>
          <w:tab w:val="left" w:pos="700"/>
        </w:tabs>
        <w:spacing w:line="320" w:lineRule="exact"/>
        <w:ind w:firstLine="315" w:firstLineChars="150"/>
        <w:rPr>
          <w:rFonts w:ascii="宋体"/>
          <w:szCs w:val="21"/>
          <w:highlight w:val="none"/>
        </w:rPr>
      </w:pPr>
    </w:p>
    <w:p>
      <w:pPr>
        <w:pStyle w:val="85"/>
        <w:spacing w:line="460" w:lineRule="exact"/>
        <w:ind w:firstLine="645"/>
        <w:rPr>
          <w:rFonts w:ascii="宋体"/>
          <w:sz w:val="24"/>
          <w:highlight w:val="none"/>
        </w:rPr>
      </w:pPr>
    </w:p>
    <w:p>
      <w:pPr>
        <w:pStyle w:val="85"/>
        <w:spacing w:line="460" w:lineRule="exact"/>
        <w:ind w:firstLine="645"/>
        <w:jc w:val="right"/>
        <w:rPr>
          <w:rFonts w:ascii="宋体"/>
          <w:sz w:val="24"/>
          <w:highlight w:val="none"/>
        </w:rPr>
      </w:pPr>
      <w:r>
        <w:rPr>
          <w:rFonts w:hint="eastAsia" w:ascii="宋体"/>
          <w:sz w:val="24"/>
          <w:highlight w:val="none"/>
        </w:rPr>
        <w:t>投标人：</w:t>
      </w:r>
      <w:r>
        <w:rPr>
          <w:rFonts w:hint="eastAsia" w:ascii="宋体"/>
          <w:sz w:val="24"/>
          <w:highlight w:val="none"/>
          <w:u w:val="single"/>
        </w:rPr>
        <w:t xml:space="preserve">              </w:t>
      </w:r>
      <w:r>
        <w:rPr>
          <w:rFonts w:hint="eastAsia" w:ascii="宋体"/>
          <w:sz w:val="24"/>
          <w:highlight w:val="none"/>
        </w:rPr>
        <w:t>（盖单位公章）</w:t>
      </w:r>
    </w:p>
    <w:p>
      <w:pPr>
        <w:pStyle w:val="85"/>
        <w:spacing w:line="460" w:lineRule="exact"/>
        <w:ind w:firstLine="3960" w:firstLineChars="1650"/>
        <w:rPr>
          <w:rFonts w:ascii="宋体"/>
          <w:sz w:val="24"/>
          <w:highlight w:val="none"/>
        </w:rPr>
      </w:pPr>
    </w:p>
    <w:p>
      <w:pPr>
        <w:spacing w:line="380" w:lineRule="exact"/>
        <w:ind w:firstLine="2880" w:firstLineChars="1200"/>
        <w:rPr>
          <w:rFonts w:ascii="宋体" w:hAnsi="宋体"/>
          <w:b/>
          <w:bCs/>
          <w:sz w:val="36"/>
          <w:highlight w:val="none"/>
        </w:rPr>
        <w:sectPr>
          <w:headerReference r:id="rId9" w:type="default"/>
          <w:footerReference r:id="rId10" w:type="default"/>
          <w:pgSz w:w="11906" w:h="16838"/>
          <w:pgMar w:top="1304" w:right="1191" w:bottom="1219" w:left="1247" w:header="851" w:footer="992" w:gutter="0"/>
          <w:cols w:space="720" w:num="1"/>
          <w:docGrid w:type="lines" w:linePitch="312" w:charSpace="0"/>
        </w:sectPr>
      </w:pPr>
      <w:r>
        <w:rPr>
          <w:rFonts w:hint="eastAsia" w:ascii="宋体"/>
          <w:sz w:val="24"/>
          <w:highlight w:val="none"/>
        </w:rPr>
        <w:t>法定代表人或委托代理人：</w:t>
      </w:r>
      <w:r>
        <w:rPr>
          <w:rFonts w:hint="eastAsia" w:ascii="宋体"/>
          <w:sz w:val="24"/>
          <w:highlight w:val="none"/>
          <w:u w:val="single"/>
        </w:rPr>
        <w:t xml:space="preserve">                </w:t>
      </w:r>
      <w:r>
        <w:rPr>
          <w:rFonts w:hint="eastAsia" w:ascii="宋体"/>
          <w:sz w:val="24"/>
          <w:highlight w:val="none"/>
        </w:rPr>
        <w:t>（盖章或签字）</w:t>
      </w:r>
    </w:p>
    <w:p>
      <w:pPr>
        <w:spacing w:line="380" w:lineRule="exact"/>
        <w:jc w:val="center"/>
        <w:outlineLvl w:val="0"/>
        <w:rPr>
          <w:rFonts w:ascii="宋体" w:hAnsi="宋体"/>
          <w:b/>
          <w:sz w:val="36"/>
          <w:highlight w:val="none"/>
        </w:rPr>
      </w:pPr>
      <w:bookmarkStart w:id="245" w:name="_Toc40254156"/>
      <w:bookmarkStart w:id="246" w:name="_Toc4015"/>
      <w:r>
        <w:rPr>
          <w:rFonts w:hint="eastAsia" w:ascii="宋体" w:hAnsi="宋体"/>
          <w:b/>
          <w:sz w:val="36"/>
          <w:highlight w:val="none"/>
        </w:rPr>
        <w:t>10  投标人提交的其它资料</w:t>
      </w:r>
      <w:bookmarkEnd w:id="245"/>
      <w:bookmarkEnd w:id="246"/>
    </w:p>
    <w:p>
      <w:pPr>
        <w:rPr>
          <w:rFonts w:ascii="宋体" w:hAnsi="宋体"/>
          <w:szCs w:val="21"/>
          <w:highlight w:val="none"/>
        </w:rPr>
      </w:pPr>
      <w:r>
        <w:rPr>
          <w:rFonts w:ascii="宋体" w:hAnsi="宋体"/>
          <w:b/>
          <w:sz w:val="36"/>
          <w:highlight w:val="none"/>
        </w:rPr>
        <w:t xml:space="preserve"> </w:t>
      </w:r>
      <w:r>
        <w:rPr>
          <w:rFonts w:hint="eastAsia" w:ascii="宋体" w:hAnsi="宋体"/>
          <w:b/>
          <w:sz w:val="36"/>
          <w:highlight w:val="none"/>
        </w:rPr>
        <w:t xml:space="preserve">  </w:t>
      </w:r>
    </w:p>
    <w:p>
      <w:pPr>
        <w:ind w:firstLine="480" w:firstLineChars="200"/>
        <w:rPr>
          <w:rFonts w:ascii="宋体" w:hAnsi="宋体"/>
          <w:b/>
          <w:bCs/>
          <w:sz w:val="36"/>
          <w:highlight w:val="none"/>
        </w:rPr>
      </w:pPr>
      <w:r>
        <w:rPr>
          <w:rFonts w:hint="eastAsia" w:ascii="宋体" w:hAnsi="宋体"/>
          <w:sz w:val="24"/>
          <w:highlight w:val="none"/>
        </w:rPr>
        <w:t>投标人认为应提交的其他材料, 可在此附件中提交。</w:t>
      </w:r>
    </w:p>
    <w:p>
      <w:pPr>
        <w:spacing w:line="380" w:lineRule="exact"/>
        <w:rPr>
          <w:rFonts w:ascii="宋体" w:hAnsi="宋体"/>
          <w:sz w:val="24"/>
          <w:highlight w:val="none"/>
        </w:rPr>
      </w:pPr>
      <w:r>
        <w:rPr>
          <w:rFonts w:hint="eastAsia" w:ascii="宋体" w:hAnsi="宋体"/>
          <w:sz w:val="24"/>
          <w:highlight w:val="none"/>
        </w:rPr>
        <w:t xml:space="preserve">                          </w:t>
      </w:r>
      <w:r>
        <w:rPr>
          <w:rFonts w:ascii="宋体" w:hAnsi="宋体"/>
          <w:sz w:val="24"/>
          <w:highlight w:val="none"/>
        </w:rPr>
        <w:t xml:space="preserve">          </w:t>
      </w:r>
      <w:r>
        <w:rPr>
          <w:rFonts w:hint="eastAsia" w:ascii="宋体" w:hAnsi="宋体"/>
          <w:sz w:val="24"/>
          <w:highlight w:val="none"/>
        </w:rPr>
        <w:t xml:space="preserve">                              </w:t>
      </w:r>
      <w:r>
        <w:rPr>
          <w:rFonts w:ascii="宋体" w:hAnsi="宋体"/>
          <w:sz w:val="24"/>
          <w:highlight w:val="none"/>
        </w:rPr>
        <w:t xml:space="preserve">             </w:t>
      </w:r>
    </w:p>
    <w:p>
      <w:pPr>
        <w:spacing w:line="380" w:lineRule="exact"/>
        <w:rPr>
          <w:rFonts w:ascii="宋体" w:hAnsi="宋体"/>
          <w:sz w:val="24"/>
          <w:highlight w:val="none"/>
        </w:rPr>
      </w:pPr>
      <w:r>
        <w:rPr>
          <w:rFonts w:ascii="宋体" w:hAnsi="宋体"/>
          <w:sz w:val="24"/>
          <w:highlight w:val="none"/>
        </w:rPr>
        <w:t xml:space="preserve">                                   </w:t>
      </w:r>
      <w:r>
        <w:rPr>
          <w:rFonts w:hint="eastAsia" w:ascii="宋体" w:hAnsi="宋体"/>
          <w:sz w:val="24"/>
          <w:highlight w:val="none"/>
        </w:rPr>
        <w:t xml:space="preserve">  </w:t>
      </w:r>
    </w:p>
    <w:p>
      <w:pPr>
        <w:rPr>
          <w:rFonts w:ascii="宋体" w:hAnsi="宋体"/>
          <w:szCs w:val="20"/>
          <w:highlight w:val="none"/>
        </w:rPr>
      </w:pPr>
    </w:p>
    <w:p>
      <w:pPr>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ind w:left="915"/>
        <w:jc w:val="center"/>
        <w:rPr>
          <w:rFonts w:ascii="宋体" w:hAnsi="宋体"/>
          <w:b/>
          <w:bCs/>
          <w:sz w:val="36"/>
          <w:highlight w:val="none"/>
        </w:rPr>
      </w:pPr>
    </w:p>
    <w:p>
      <w:pPr>
        <w:ind w:left="915"/>
        <w:jc w:val="center"/>
        <w:rPr>
          <w:rFonts w:ascii="宋体" w:hAnsi="宋体"/>
          <w:b/>
          <w:bCs/>
          <w:sz w:val="36"/>
          <w:highlight w:val="none"/>
        </w:rPr>
      </w:pPr>
    </w:p>
    <w:p>
      <w:pPr>
        <w:ind w:left="915"/>
        <w:jc w:val="center"/>
        <w:rPr>
          <w:rFonts w:ascii="宋体" w:hAnsi="宋体"/>
          <w:b/>
          <w:bCs/>
          <w:sz w:val="36"/>
          <w:highlight w:val="none"/>
        </w:rPr>
      </w:pPr>
    </w:p>
    <w:p>
      <w:pPr>
        <w:ind w:left="915"/>
        <w:jc w:val="center"/>
        <w:rPr>
          <w:rFonts w:ascii="宋体" w:hAnsi="宋体"/>
          <w:b/>
          <w:bCs/>
          <w:sz w:val="36"/>
          <w:highlight w:val="none"/>
        </w:rPr>
      </w:pPr>
    </w:p>
    <w:p>
      <w:pPr>
        <w:spacing w:line="380" w:lineRule="exact"/>
        <w:ind w:right="480"/>
        <w:rPr>
          <w:rFonts w:ascii="宋体" w:hAnsi="宋体"/>
          <w:sz w:val="24"/>
          <w:highlight w:val="none"/>
          <w:u w:val="single"/>
        </w:rPr>
      </w:pPr>
      <w:r>
        <w:rPr>
          <w:rFonts w:hint="eastAsia" w:ascii="宋体" w:hAnsi="宋体"/>
          <w:sz w:val="24"/>
          <w:highlight w:val="none"/>
        </w:rPr>
        <w:t xml:space="preserve">投标人代表签字： </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投标人（全称并加盖公章）：</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exact"/>
        <w:rPr>
          <w:rFonts w:ascii="宋体" w:hAnsi="宋体"/>
          <w:sz w:val="24"/>
          <w:highlight w:val="none"/>
        </w:rPr>
      </w:pPr>
      <w:r>
        <w:rPr>
          <w:rFonts w:hint="eastAsia" w:ascii="宋体" w:hAnsi="宋体"/>
          <w:sz w:val="24"/>
          <w:highlight w:val="none"/>
        </w:rPr>
        <w:t xml:space="preserve">日  期： </w:t>
      </w:r>
      <w:r>
        <w:rPr>
          <w:rFonts w:hint="eastAsia" w:ascii="宋体" w:hAnsi="宋体"/>
          <w:sz w:val="24"/>
          <w:highlight w:val="none"/>
          <w:u w:val="single"/>
        </w:rPr>
        <w:t xml:space="preserve">    </w:t>
      </w:r>
      <w:r>
        <w:rPr>
          <w:rFonts w:hint="eastAsia" w:ascii="宋体" w:hAnsi="宋体"/>
          <w:sz w:val="24"/>
          <w:highlight w:val="none"/>
        </w:rPr>
        <w:t xml:space="preserve">年 </w:t>
      </w:r>
      <w:r>
        <w:rPr>
          <w:rFonts w:hint="eastAsia" w:ascii="宋体" w:hAnsi="宋体"/>
          <w:sz w:val="24"/>
          <w:highlight w:val="none"/>
          <w:u w:val="single"/>
        </w:rPr>
        <w:t xml:space="preserve">   </w:t>
      </w:r>
      <w:r>
        <w:rPr>
          <w:rFonts w:hint="eastAsia" w:ascii="宋体" w:hAnsi="宋体"/>
          <w:sz w:val="24"/>
          <w:highlight w:val="none"/>
        </w:rPr>
        <w:t xml:space="preserve">月 </w:t>
      </w:r>
      <w:r>
        <w:rPr>
          <w:rFonts w:hint="eastAsia" w:ascii="宋体" w:hAnsi="宋体"/>
          <w:sz w:val="24"/>
          <w:highlight w:val="none"/>
          <w:u w:val="single"/>
        </w:rPr>
        <w:t xml:space="preserve">   </w:t>
      </w:r>
      <w:r>
        <w:rPr>
          <w:rFonts w:hint="eastAsia" w:ascii="宋体" w:hAnsi="宋体"/>
          <w:sz w:val="24"/>
          <w:highlight w:val="none"/>
        </w:rPr>
        <w:t>日</w:t>
      </w:r>
    </w:p>
    <w:p>
      <w:pPr>
        <w:ind w:left="915"/>
        <w:jc w:val="center"/>
        <w:rPr>
          <w:rFonts w:ascii="宋体" w:hAnsi="宋体"/>
          <w:b/>
          <w:bCs/>
          <w:sz w:val="36"/>
          <w:highlight w:val="none"/>
        </w:rPr>
      </w:pPr>
    </w:p>
    <w:p>
      <w:pPr>
        <w:ind w:left="915"/>
        <w:jc w:val="center"/>
        <w:rPr>
          <w:rFonts w:ascii="宋体" w:hAnsi="宋体"/>
          <w:b/>
          <w:bCs/>
          <w:sz w:val="36"/>
          <w:highlight w:val="none"/>
        </w:rPr>
      </w:pPr>
    </w:p>
    <w:p>
      <w:pPr>
        <w:ind w:left="915"/>
        <w:jc w:val="center"/>
        <w:rPr>
          <w:rFonts w:ascii="宋体" w:hAnsi="宋体"/>
          <w:b/>
          <w:bCs/>
          <w:sz w:val="36"/>
          <w:highlight w:val="none"/>
        </w:rPr>
      </w:pPr>
    </w:p>
    <w:p>
      <w:pPr>
        <w:ind w:left="915"/>
        <w:jc w:val="center"/>
        <w:rPr>
          <w:rFonts w:ascii="宋体" w:hAnsi="宋体"/>
          <w:b/>
          <w:bCs/>
          <w:sz w:val="36"/>
          <w:highlight w:val="none"/>
        </w:rPr>
      </w:pPr>
    </w:p>
    <w:p>
      <w:pPr>
        <w:ind w:left="915"/>
        <w:jc w:val="center"/>
        <w:rPr>
          <w:rFonts w:ascii="宋体" w:hAnsi="宋体"/>
          <w:b/>
          <w:bCs/>
          <w:sz w:val="36"/>
          <w:highlight w:val="none"/>
        </w:rPr>
      </w:pPr>
    </w:p>
    <w:p>
      <w:pPr>
        <w:ind w:left="915"/>
        <w:jc w:val="center"/>
        <w:rPr>
          <w:rFonts w:ascii="宋体" w:hAnsi="宋体"/>
          <w:b/>
          <w:bCs/>
          <w:sz w:val="36"/>
          <w:highlight w:val="none"/>
        </w:rPr>
      </w:pPr>
    </w:p>
    <w:p>
      <w:pPr>
        <w:ind w:left="915"/>
        <w:jc w:val="center"/>
        <w:rPr>
          <w:rFonts w:ascii="宋体" w:hAnsi="宋体"/>
          <w:b/>
          <w:bCs/>
          <w:sz w:val="36"/>
          <w:highlight w:val="none"/>
        </w:rPr>
      </w:pPr>
    </w:p>
    <w:p>
      <w:pPr>
        <w:ind w:left="915"/>
        <w:jc w:val="center"/>
        <w:rPr>
          <w:rFonts w:ascii="宋体" w:hAnsi="宋体"/>
          <w:b/>
          <w:bCs/>
          <w:sz w:val="36"/>
          <w:highlight w:val="none"/>
        </w:rPr>
      </w:pPr>
    </w:p>
    <w:p>
      <w:pPr>
        <w:pStyle w:val="2"/>
        <w:rPr>
          <w:rFonts w:ascii="宋体" w:hAnsi="宋体"/>
          <w:b/>
          <w:bCs/>
          <w:sz w:val="36"/>
          <w:highlight w:val="none"/>
        </w:rPr>
      </w:pPr>
    </w:p>
    <w:p>
      <w:pPr>
        <w:pStyle w:val="3"/>
        <w:rPr>
          <w:highlight w:val="none"/>
        </w:rPr>
      </w:pPr>
    </w:p>
    <w:p>
      <w:pPr>
        <w:rPr>
          <w:rFonts w:ascii="宋体" w:hAnsi="宋体"/>
          <w:b/>
          <w:bCs/>
          <w:sz w:val="36"/>
          <w:highlight w:val="none"/>
        </w:rPr>
      </w:pPr>
    </w:p>
    <w:p>
      <w:pPr>
        <w:spacing w:line="380" w:lineRule="exact"/>
        <w:jc w:val="center"/>
        <w:outlineLvl w:val="0"/>
        <w:rPr>
          <w:rFonts w:ascii="宋体" w:hAnsi="宋体"/>
          <w:b/>
          <w:sz w:val="36"/>
          <w:highlight w:val="none"/>
        </w:rPr>
      </w:pPr>
      <w:bookmarkStart w:id="247" w:name="_Toc40254157"/>
      <w:bookmarkStart w:id="248" w:name="_Toc796"/>
      <w:r>
        <w:rPr>
          <w:rFonts w:hint="eastAsia" w:ascii="宋体" w:hAnsi="宋体"/>
          <w:b/>
          <w:sz w:val="36"/>
          <w:highlight w:val="none"/>
        </w:rPr>
        <w:t>11  招标服务费承诺书</w:t>
      </w:r>
      <w:bookmarkEnd w:id="247"/>
      <w:bookmarkEnd w:id="248"/>
    </w:p>
    <w:p>
      <w:pPr>
        <w:rPr>
          <w:highlight w:val="none"/>
        </w:rPr>
      </w:pPr>
    </w:p>
    <w:p>
      <w:pPr>
        <w:rPr>
          <w:highlight w:val="none"/>
        </w:rPr>
      </w:pPr>
      <w:r>
        <w:rPr>
          <w:rFonts w:hint="eastAsia"/>
          <w:highlight w:val="none"/>
        </w:rPr>
        <w:t xml:space="preserve">                                </w:t>
      </w:r>
    </w:p>
    <w:p>
      <w:pPr>
        <w:spacing w:line="380" w:lineRule="exact"/>
        <w:rPr>
          <w:rFonts w:ascii="宋体" w:hAnsi="宋体"/>
          <w:sz w:val="24"/>
          <w:highlight w:val="none"/>
        </w:rPr>
      </w:pPr>
      <w:r>
        <w:rPr>
          <w:rFonts w:hint="eastAsia" w:ascii="宋体" w:hAnsi="宋体"/>
          <w:sz w:val="24"/>
          <w:highlight w:val="none"/>
        </w:rPr>
        <w:t>致：</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exact"/>
        <w:rPr>
          <w:rFonts w:ascii="宋体" w:hAnsi="宋体"/>
          <w:sz w:val="24"/>
          <w:highlight w:val="none"/>
        </w:rPr>
      </w:pPr>
      <w:r>
        <w:rPr>
          <w:rFonts w:hint="eastAsia" w:ascii="宋体" w:hAnsi="宋体"/>
          <w:sz w:val="24"/>
          <w:highlight w:val="none"/>
        </w:rPr>
        <w:t xml:space="preserve">  </w:t>
      </w:r>
    </w:p>
    <w:p>
      <w:pPr>
        <w:spacing w:line="380" w:lineRule="exact"/>
        <w:ind w:firstLine="480" w:firstLineChars="200"/>
        <w:rPr>
          <w:rFonts w:ascii="宋体" w:hAnsi="宋体"/>
          <w:sz w:val="24"/>
          <w:highlight w:val="none"/>
        </w:rPr>
      </w:pPr>
      <w:r>
        <w:rPr>
          <w:rFonts w:hint="eastAsia" w:ascii="宋体" w:hAnsi="宋体"/>
          <w:sz w:val="24"/>
          <w:highlight w:val="none"/>
        </w:rPr>
        <w:t>我们在贵公司组织的</w:t>
      </w:r>
      <w:r>
        <w:rPr>
          <w:rFonts w:hint="eastAsia" w:ascii="宋体" w:hAnsi="宋体"/>
          <w:sz w:val="24"/>
          <w:highlight w:val="none"/>
          <w:u w:val="single"/>
        </w:rPr>
        <w:t xml:space="preserve">                           </w:t>
      </w:r>
      <w:r>
        <w:rPr>
          <w:rFonts w:hint="eastAsia" w:ascii="宋体" w:hAnsi="宋体"/>
          <w:sz w:val="24"/>
          <w:highlight w:val="none"/>
        </w:rPr>
        <w:t>项目招标中投标（招标编号：</w:t>
      </w:r>
      <w:r>
        <w:rPr>
          <w:rFonts w:hint="eastAsia" w:ascii="宋体" w:hAnsi="宋体"/>
          <w:sz w:val="24"/>
          <w:highlight w:val="none"/>
          <w:u w:val="single"/>
        </w:rPr>
        <w:t xml:space="preserve">          </w:t>
      </w:r>
      <w:r>
        <w:rPr>
          <w:rFonts w:hint="eastAsia" w:ascii="宋体" w:hAnsi="宋体"/>
          <w:sz w:val="24"/>
          <w:highlight w:val="none"/>
        </w:rPr>
        <w:t>），如获中标，我们保证按招标文件的规定，以支票、汇票、电汇、现金或经贵公司认可的其他付款方式，向贵公司缴交招标服务费。</w:t>
      </w:r>
    </w:p>
    <w:p>
      <w:pPr>
        <w:spacing w:line="380" w:lineRule="exact"/>
        <w:ind w:firstLine="480" w:firstLineChars="200"/>
        <w:rPr>
          <w:rFonts w:ascii="宋体" w:hAnsi="宋体"/>
          <w:sz w:val="24"/>
          <w:highlight w:val="none"/>
        </w:rPr>
      </w:pPr>
      <w:r>
        <w:rPr>
          <w:rFonts w:hint="eastAsia" w:ascii="宋体" w:hAnsi="宋体"/>
          <w:sz w:val="24"/>
          <w:highlight w:val="none"/>
        </w:rPr>
        <w:t>我方如违反上述承诺，所提交的上述项目的投标保证金将不予退还我方，我方对此无异议。</w:t>
      </w:r>
    </w:p>
    <w:p>
      <w:pPr>
        <w:spacing w:line="380" w:lineRule="exact"/>
        <w:rPr>
          <w:rFonts w:ascii="宋体" w:hAnsi="宋体"/>
          <w:sz w:val="24"/>
          <w:highlight w:val="none"/>
        </w:rPr>
      </w:pPr>
    </w:p>
    <w:p>
      <w:pPr>
        <w:spacing w:line="380" w:lineRule="exact"/>
        <w:ind w:firstLine="480" w:firstLineChars="200"/>
        <w:rPr>
          <w:rFonts w:ascii="宋体" w:hAnsi="宋体"/>
          <w:sz w:val="24"/>
          <w:highlight w:val="none"/>
        </w:rPr>
      </w:pPr>
      <w:r>
        <w:rPr>
          <w:rFonts w:hint="eastAsia" w:ascii="宋体" w:hAnsi="宋体"/>
          <w:sz w:val="24"/>
          <w:highlight w:val="none"/>
        </w:rPr>
        <w:t>特此承诺！</w:t>
      </w: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 xml:space="preserve">                          </w:t>
      </w:r>
    </w:p>
    <w:p>
      <w:pPr>
        <w:spacing w:line="380" w:lineRule="exact"/>
        <w:rPr>
          <w:rFonts w:ascii="宋体" w:hAnsi="宋体"/>
          <w:sz w:val="24"/>
          <w:highlight w:val="none"/>
        </w:rPr>
      </w:pPr>
    </w:p>
    <w:p>
      <w:pPr>
        <w:spacing w:line="380" w:lineRule="exact"/>
        <w:ind w:right="480"/>
        <w:rPr>
          <w:rFonts w:ascii="宋体" w:hAnsi="宋体"/>
          <w:sz w:val="24"/>
          <w:highlight w:val="none"/>
        </w:rPr>
      </w:pPr>
      <w:r>
        <w:rPr>
          <w:rFonts w:hint="eastAsia" w:ascii="宋体" w:hAnsi="宋体"/>
          <w:sz w:val="24"/>
          <w:highlight w:val="none"/>
        </w:rPr>
        <w:t xml:space="preserve">  </w:t>
      </w:r>
    </w:p>
    <w:p>
      <w:pPr>
        <w:spacing w:line="380" w:lineRule="exact"/>
        <w:ind w:right="480"/>
        <w:rPr>
          <w:rFonts w:ascii="宋体" w:hAnsi="宋体"/>
          <w:sz w:val="24"/>
          <w:highlight w:val="none"/>
          <w:u w:val="single"/>
        </w:rPr>
      </w:pPr>
      <w:r>
        <w:rPr>
          <w:rFonts w:hint="eastAsia" w:ascii="宋体" w:hAnsi="宋体"/>
          <w:sz w:val="24"/>
          <w:highlight w:val="none"/>
        </w:rPr>
        <w:t xml:space="preserve">投标人代表签字： </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投标人（全称并加盖公章）：</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exact"/>
        <w:rPr>
          <w:rFonts w:ascii="宋体" w:hAnsi="宋体"/>
          <w:sz w:val="24"/>
          <w:highlight w:val="none"/>
        </w:rPr>
      </w:pPr>
      <w:r>
        <w:rPr>
          <w:rFonts w:hint="eastAsia" w:ascii="宋体" w:hAnsi="宋体"/>
          <w:sz w:val="24"/>
          <w:highlight w:val="none"/>
        </w:rPr>
        <w:t xml:space="preserve">日  期： </w:t>
      </w:r>
      <w:r>
        <w:rPr>
          <w:rFonts w:hint="eastAsia" w:ascii="宋体" w:hAnsi="宋体"/>
          <w:sz w:val="24"/>
          <w:highlight w:val="none"/>
          <w:u w:val="single"/>
        </w:rPr>
        <w:t xml:space="preserve">    </w:t>
      </w:r>
      <w:r>
        <w:rPr>
          <w:rFonts w:hint="eastAsia" w:ascii="宋体" w:hAnsi="宋体"/>
          <w:sz w:val="24"/>
          <w:highlight w:val="none"/>
        </w:rPr>
        <w:t xml:space="preserve">年 </w:t>
      </w:r>
      <w:r>
        <w:rPr>
          <w:rFonts w:hint="eastAsia" w:ascii="宋体" w:hAnsi="宋体"/>
          <w:sz w:val="24"/>
          <w:highlight w:val="none"/>
          <w:u w:val="single"/>
        </w:rPr>
        <w:t xml:space="preserve">   </w:t>
      </w:r>
      <w:r>
        <w:rPr>
          <w:rFonts w:hint="eastAsia" w:ascii="宋体" w:hAnsi="宋体"/>
          <w:sz w:val="24"/>
          <w:highlight w:val="none"/>
        </w:rPr>
        <w:t xml:space="preserve">月 </w:t>
      </w:r>
      <w:r>
        <w:rPr>
          <w:rFonts w:hint="eastAsia" w:ascii="宋体" w:hAnsi="宋体"/>
          <w:sz w:val="24"/>
          <w:highlight w:val="none"/>
          <w:u w:val="single"/>
        </w:rPr>
        <w:t xml:space="preserve">   </w:t>
      </w:r>
      <w:r>
        <w:rPr>
          <w:rFonts w:hint="eastAsia" w:ascii="宋体" w:hAnsi="宋体"/>
          <w:sz w:val="24"/>
          <w:highlight w:val="none"/>
        </w:rPr>
        <w:t>日</w:t>
      </w:r>
    </w:p>
    <w:p>
      <w:pPr>
        <w:spacing w:line="380" w:lineRule="exact"/>
        <w:ind w:firstLine="2730" w:firstLineChars="1300"/>
        <w:rPr>
          <w:rFonts w:ascii="宋体" w:hAnsi="宋体"/>
          <w:szCs w:val="20"/>
          <w:highlight w:val="none"/>
          <w:u w:val="single"/>
        </w:rPr>
      </w:pPr>
    </w:p>
    <w:p>
      <w:pPr>
        <w:rPr>
          <w:rFonts w:ascii="宋体" w:hAnsi="宋体"/>
          <w:szCs w:val="20"/>
          <w:highlight w:val="none"/>
        </w:rPr>
      </w:pPr>
    </w:p>
    <w:p>
      <w:pPr>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spacing w:line="0" w:lineRule="atLeast"/>
        <w:jc w:val="left"/>
        <w:rPr>
          <w:rFonts w:ascii="宋体" w:hAnsi="宋体"/>
          <w:szCs w:val="20"/>
          <w:highlight w:val="none"/>
        </w:rPr>
      </w:pPr>
    </w:p>
    <w:p>
      <w:pPr>
        <w:ind w:firstLine="1459" w:firstLineChars="695"/>
        <w:rPr>
          <w:rFonts w:ascii="宋体" w:hAnsi="宋体"/>
          <w:szCs w:val="20"/>
          <w:highlight w:val="none"/>
        </w:rPr>
      </w:pPr>
    </w:p>
    <w:p>
      <w:pPr>
        <w:spacing w:line="380" w:lineRule="exact"/>
        <w:jc w:val="center"/>
        <w:outlineLvl w:val="0"/>
        <w:rPr>
          <w:rFonts w:ascii="宋体" w:hAnsi="宋体"/>
          <w:b/>
          <w:sz w:val="36"/>
          <w:highlight w:val="none"/>
        </w:rPr>
      </w:pPr>
      <w:bookmarkStart w:id="249" w:name="_Toc40254158"/>
      <w:bookmarkStart w:id="250" w:name="_Toc11231"/>
      <w:r>
        <w:rPr>
          <w:rFonts w:hint="eastAsia" w:ascii="宋体" w:hAnsi="宋体"/>
          <w:b/>
          <w:sz w:val="36"/>
          <w:highlight w:val="none"/>
        </w:rPr>
        <w:t>12  保证金提交申明函</w:t>
      </w:r>
      <w:bookmarkEnd w:id="249"/>
      <w:bookmarkEnd w:id="250"/>
    </w:p>
    <w:p>
      <w:pPr>
        <w:ind w:firstLine="2512" w:firstLineChars="695"/>
        <w:rPr>
          <w:rFonts w:ascii="宋体" w:hAnsi="宋体"/>
          <w:b/>
          <w:bCs/>
          <w:sz w:val="36"/>
          <w:highlight w:val="none"/>
        </w:rPr>
      </w:pPr>
    </w:p>
    <w:p>
      <w:pPr>
        <w:spacing w:line="380" w:lineRule="exact"/>
        <w:rPr>
          <w:rFonts w:ascii="宋体" w:hAnsi="宋体"/>
          <w:sz w:val="24"/>
          <w:highlight w:val="none"/>
        </w:rPr>
      </w:pPr>
      <w:r>
        <w:rPr>
          <w:rFonts w:hint="eastAsia" w:ascii="宋体" w:hAnsi="宋体"/>
          <w:sz w:val="24"/>
          <w:highlight w:val="none"/>
        </w:rPr>
        <w:t>致：</w:t>
      </w:r>
      <w:r>
        <w:rPr>
          <w:rFonts w:hint="eastAsia" w:ascii="宋体" w:hAnsi="宋体"/>
          <w:sz w:val="24"/>
          <w:highlight w:val="none"/>
          <w:u w:val="single"/>
        </w:rPr>
        <w:t xml:space="preserve">                       </w:t>
      </w: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 xml:space="preserve">    我们在贵公司组织的</w:t>
      </w:r>
      <w:r>
        <w:rPr>
          <w:rFonts w:hint="eastAsia" w:ascii="宋体" w:hAnsi="宋体"/>
          <w:sz w:val="24"/>
          <w:highlight w:val="none"/>
          <w:u w:val="single"/>
        </w:rPr>
        <w:t xml:space="preserve">                 </w:t>
      </w:r>
      <w:r>
        <w:rPr>
          <w:rFonts w:hint="eastAsia" w:ascii="宋体" w:hAnsi="宋体"/>
          <w:sz w:val="24"/>
          <w:highlight w:val="none"/>
        </w:rPr>
        <w:t>项目招标中投标（招标编号：</w:t>
      </w:r>
      <w:r>
        <w:rPr>
          <w:rFonts w:hint="eastAsia" w:ascii="宋体" w:hAnsi="宋体"/>
          <w:sz w:val="24"/>
          <w:highlight w:val="none"/>
          <w:u w:val="single"/>
        </w:rPr>
        <w:t xml:space="preserve">           </w:t>
      </w:r>
      <w:r>
        <w:rPr>
          <w:rFonts w:hint="eastAsia" w:ascii="宋体" w:hAnsi="宋体"/>
          <w:sz w:val="24"/>
          <w:highlight w:val="none"/>
        </w:rPr>
        <w:t>），我们按招标文件的规定，以</w:t>
      </w:r>
      <w:r>
        <w:rPr>
          <w:rFonts w:hint="eastAsia" w:ascii="宋体" w:hAnsi="宋体"/>
          <w:sz w:val="24"/>
          <w:highlight w:val="none"/>
          <w:u w:val="single"/>
        </w:rPr>
        <w:t xml:space="preserve">          </w:t>
      </w:r>
      <w:r>
        <w:rPr>
          <w:rFonts w:hint="eastAsia" w:ascii="宋体" w:hAnsi="宋体"/>
          <w:sz w:val="24"/>
          <w:highlight w:val="none"/>
        </w:rPr>
        <w:t>付款方式，向贵公司指定的保证金专户缴交投标保证金。</w:t>
      </w:r>
    </w:p>
    <w:p>
      <w:pPr>
        <w:spacing w:line="380" w:lineRule="exact"/>
        <w:rPr>
          <w:rFonts w:ascii="宋体" w:hAnsi="宋体"/>
          <w:sz w:val="24"/>
          <w:highlight w:val="none"/>
        </w:rPr>
      </w:pPr>
    </w:p>
    <w:p>
      <w:pPr>
        <w:spacing w:line="380" w:lineRule="exact"/>
        <w:rPr>
          <w:rFonts w:ascii="宋体" w:hAnsi="宋体"/>
          <w:sz w:val="24"/>
          <w:highlight w:val="none"/>
        </w:rPr>
      </w:pPr>
      <w:r>
        <w:rPr>
          <w:rFonts w:hint="eastAsia" w:ascii="宋体" w:hAnsi="宋体"/>
          <w:sz w:val="24"/>
          <w:highlight w:val="none"/>
        </w:rPr>
        <w:tab/>
      </w:r>
      <w:r>
        <w:rPr>
          <w:rFonts w:hint="eastAsia" w:ascii="宋体" w:hAnsi="宋体"/>
          <w:sz w:val="24"/>
          <w:highlight w:val="none"/>
        </w:rPr>
        <w:t>附：缴交投标保证金凭证复印件</w:t>
      </w:r>
    </w:p>
    <w:p>
      <w:pPr>
        <w:spacing w:line="380" w:lineRule="exact"/>
        <w:rPr>
          <w:rFonts w:ascii="宋体" w:hAnsi="宋体"/>
          <w:sz w:val="24"/>
          <w:highlight w:val="none"/>
        </w:rPr>
      </w:pPr>
    </w:p>
    <w:p>
      <w:pPr>
        <w:spacing w:line="380" w:lineRule="exact"/>
        <w:rPr>
          <w:rFonts w:ascii="宋体" w:hAnsi="宋体"/>
          <w:sz w:val="24"/>
          <w:highlight w:val="none"/>
        </w:rPr>
      </w:pPr>
    </w:p>
    <w:tbl>
      <w:tblPr>
        <w:tblStyle w:val="3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0" w:hRule="atLeast"/>
        </w:trPr>
        <w:tc>
          <w:tcPr>
            <w:tcW w:w="900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highlight w:val="none"/>
              </w:rPr>
            </w:pPr>
            <w:r>
              <w:rPr>
                <w:rFonts w:hint="eastAsia" w:ascii="宋体" w:hAnsi="宋体"/>
                <w:sz w:val="24"/>
                <w:highlight w:val="none"/>
              </w:rPr>
              <w:t>复印件粘帖处</w:t>
            </w: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tc>
      </w:tr>
    </w:tbl>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ind w:right="480"/>
        <w:rPr>
          <w:rFonts w:ascii="宋体" w:hAnsi="宋体"/>
          <w:sz w:val="24"/>
          <w:highlight w:val="none"/>
        </w:rPr>
      </w:pPr>
    </w:p>
    <w:p>
      <w:pPr>
        <w:spacing w:line="380" w:lineRule="exact"/>
        <w:ind w:right="480"/>
        <w:rPr>
          <w:rFonts w:ascii="宋体" w:hAnsi="宋体"/>
          <w:sz w:val="24"/>
          <w:highlight w:val="none"/>
          <w:u w:val="single"/>
        </w:rPr>
      </w:pPr>
      <w:r>
        <w:rPr>
          <w:rFonts w:hint="eastAsia" w:ascii="宋体" w:hAnsi="宋体"/>
          <w:sz w:val="24"/>
          <w:highlight w:val="none"/>
        </w:rPr>
        <w:t xml:space="preserve">投标人代表签字： </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投标人（全称并加盖公章）：</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exact"/>
        <w:rPr>
          <w:rFonts w:ascii="宋体" w:hAnsi="宋体"/>
          <w:sz w:val="24"/>
          <w:highlight w:val="none"/>
        </w:rPr>
      </w:pPr>
      <w:r>
        <w:rPr>
          <w:rFonts w:hint="eastAsia" w:ascii="宋体" w:hAnsi="宋体"/>
          <w:sz w:val="24"/>
          <w:highlight w:val="none"/>
        </w:rPr>
        <w:t xml:space="preserve">日  期： </w:t>
      </w:r>
      <w:r>
        <w:rPr>
          <w:rFonts w:hint="eastAsia" w:ascii="宋体" w:hAnsi="宋体"/>
          <w:sz w:val="24"/>
          <w:highlight w:val="none"/>
          <w:u w:val="single"/>
        </w:rPr>
        <w:t xml:space="preserve">    </w:t>
      </w:r>
      <w:r>
        <w:rPr>
          <w:rFonts w:hint="eastAsia" w:ascii="宋体" w:hAnsi="宋体"/>
          <w:sz w:val="24"/>
          <w:highlight w:val="none"/>
        </w:rPr>
        <w:t xml:space="preserve">年 </w:t>
      </w:r>
      <w:r>
        <w:rPr>
          <w:rFonts w:hint="eastAsia" w:ascii="宋体" w:hAnsi="宋体"/>
          <w:sz w:val="24"/>
          <w:highlight w:val="none"/>
          <w:u w:val="single"/>
        </w:rPr>
        <w:t xml:space="preserve">   </w:t>
      </w:r>
      <w:r>
        <w:rPr>
          <w:rFonts w:hint="eastAsia" w:ascii="宋体" w:hAnsi="宋体"/>
          <w:sz w:val="24"/>
          <w:highlight w:val="none"/>
        </w:rPr>
        <w:t xml:space="preserve">月 </w:t>
      </w:r>
      <w:r>
        <w:rPr>
          <w:rFonts w:hint="eastAsia" w:ascii="宋体" w:hAnsi="宋体"/>
          <w:sz w:val="24"/>
          <w:highlight w:val="none"/>
          <w:u w:val="single"/>
        </w:rPr>
        <w:t xml:space="preserve">   </w:t>
      </w:r>
      <w:r>
        <w:rPr>
          <w:rFonts w:hint="eastAsia" w:ascii="宋体" w:hAnsi="宋体"/>
          <w:sz w:val="24"/>
          <w:highlight w:val="none"/>
        </w:rPr>
        <w:t>日</w:t>
      </w:r>
    </w:p>
    <w:p>
      <w:pPr>
        <w:spacing w:line="380" w:lineRule="exact"/>
        <w:rPr>
          <w:rFonts w:ascii="宋体" w:hAnsi="宋体"/>
          <w:sz w:val="24"/>
          <w:highlight w:val="none"/>
        </w:rPr>
      </w:pPr>
    </w:p>
    <w:p>
      <w:pPr>
        <w:spacing w:line="380" w:lineRule="exact"/>
        <w:rPr>
          <w:rFonts w:ascii="宋体" w:hAnsi="宋体"/>
          <w:sz w:val="24"/>
          <w:highlight w:val="none"/>
        </w:rPr>
      </w:pPr>
    </w:p>
    <w:p>
      <w:pPr>
        <w:spacing w:line="380" w:lineRule="exact"/>
        <w:rPr>
          <w:rFonts w:ascii="宋体" w:hAnsi="宋体"/>
          <w:sz w:val="24"/>
          <w:highlight w:val="none"/>
        </w:rPr>
      </w:pPr>
    </w:p>
    <w:p>
      <w:pPr>
        <w:pStyle w:val="2"/>
        <w:rPr>
          <w:rFonts w:ascii="宋体" w:hAnsi="宋体"/>
          <w:sz w:val="24"/>
          <w:highlight w:val="none"/>
        </w:rPr>
      </w:pPr>
    </w:p>
    <w:p>
      <w:pPr>
        <w:pStyle w:val="3"/>
        <w:rPr>
          <w:highlight w:val="none"/>
        </w:rPr>
      </w:pPr>
    </w:p>
    <w:p>
      <w:pPr>
        <w:spacing w:line="380" w:lineRule="exact"/>
        <w:jc w:val="center"/>
        <w:outlineLvl w:val="0"/>
        <w:rPr>
          <w:rFonts w:ascii="宋体" w:hAnsi="宋体"/>
          <w:b/>
          <w:sz w:val="36"/>
          <w:highlight w:val="none"/>
        </w:rPr>
      </w:pPr>
      <w:bookmarkStart w:id="251" w:name="_Toc40254159"/>
      <w:bookmarkStart w:id="252" w:name="_Toc24615"/>
      <w:r>
        <w:rPr>
          <w:rFonts w:hint="eastAsia" w:ascii="宋体" w:hAnsi="宋体"/>
          <w:b/>
          <w:sz w:val="36"/>
          <w:highlight w:val="none"/>
        </w:rPr>
        <w:t>13  退回保证金授权函</w:t>
      </w:r>
      <w:bookmarkEnd w:id="251"/>
      <w:bookmarkEnd w:id="252"/>
    </w:p>
    <w:p>
      <w:pPr>
        <w:tabs>
          <w:tab w:val="left" w:pos="900"/>
        </w:tabs>
        <w:spacing w:line="360" w:lineRule="auto"/>
        <w:ind w:left="99" w:leftChars="47"/>
        <w:rPr>
          <w:rFonts w:ascii="宋体" w:hAnsi="宋体"/>
          <w:sz w:val="24"/>
          <w:highlight w:val="none"/>
        </w:rPr>
      </w:pPr>
      <w:r>
        <w:rPr>
          <w:rFonts w:hint="eastAsia" w:ascii="宋体" w:hAnsi="宋体"/>
          <w:sz w:val="24"/>
          <w:highlight w:val="none"/>
        </w:rPr>
        <w:t>致：</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60" w:lineRule="auto"/>
        <w:ind w:firstLine="477" w:firstLineChars="199"/>
        <w:rPr>
          <w:rFonts w:ascii="宋体" w:hAnsi="宋体"/>
          <w:sz w:val="24"/>
          <w:highlight w:val="none"/>
        </w:rPr>
      </w:pPr>
      <w:r>
        <w:rPr>
          <w:rFonts w:hint="eastAsia" w:ascii="宋体" w:hAnsi="宋体"/>
          <w:sz w:val="24"/>
          <w:highlight w:val="none"/>
        </w:rPr>
        <w:t>我方参与项目编号为</w:t>
      </w:r>
      <w:r>
        <w:rPr>
          <w:rFonts w:hint="eastAsia" w:ascii="宋体" w:hAnsi="宋体"/>
          <w:sz w:val="24"/>
          <w:highlight w:val="none"/>
          <w:u w:val="single"/>
        </w:rPr>
        <w:t xml:space="preserve">           </w:t>
      </w:r>
      <w:r>
        <w:rPr>
          <w:rFonts w:hint="eastAsia" w:ascii="宋体" w:hAnsi="宋体"/>
          <w:sz w:val="24"/>
          <w:highlight w:val="none"/>
        </w:rPr>
        <w:t xml:space="preserve"> 的</w:t>
      </w:r>
      <w:r>
        <w:rPr>
          <w:rFonts w:hint="eastAsia" w:ascii="宋体" w:hAnsi="宋体"/>
          <w:sz w:val="24"/>
          <w:highlight w:val="none"/>
          <w:u w:val="single"/>
        </w:rPr>
        <w:t xml:space="preserve">     （项目名称）    </w:t>
      </w:r>
      <w:r>
        <w:rPr>
          <w:rFonts w:hint="eastAsia" w:ascii="宋体" w:hAnsi="宋体"/>
          <w:sz w:val="24"/>
          <w:highlight w:val="none"/>
        </w:rPr>
        <w:t xml:space="preserve"> 投标,</w:t>
      </w:r>
    </w:p>
    <w:p>
      <w:pPr>
        <w:spacing w:line="360" w:lineRule="auto"/>
        <w:ind w:firstLine="477" w:firstLineChars="199"/>
        <w:jc w:val="left"/>
        <w:rPr>
          <w:rFonts w:ascii="宋体" w:hAnsi="宋体"/>
          <w:sz w:val="24"/>
          <w:highlight w:val="none"/>
        </w:rPr>
      </w:pPr>
      <w:r>
        <w:rPr>
          <w:rFonts w:hint="eastAsia" w:ascii="宋体" w:hAnsi="宋体"/>
          <w:sz w:val="24"/>
          <w:highlight w:val="none"/>
        </w:rPr>
        <w:t>我方以</w:t>
      </w:r>
      <w:r>
        <w:rPr>
          <w:rFonts w:hint="eastAsia" w:ascii="宋体" w:hAnsi="宋体"/>
          <w:sz w:val="24"/>
          <w:highlight w:val="none"/>
          <w:u w:val="single"/>
        </w:rPr>
        <w:t xml:space="preserve">      </w:t>
      </w:r>
      <w:r>
        <w:rPr>
          <w:rFonts w:hint="eastAsia" w:ascii="宋体" w:hAnsi="宋体"/>
          <w:sz w:val="24"/>
          <w:highlight w:val="none"/>
        </w:rPr>
        <w:t>形式提供人民币</w:t>
      </w:r>
      <w:r>
        <w:rPr>
          <w:rFonts w:hint="eastAsia" w:ascii="宋体" w:hAnsi="宋体"/>
          <w:sz w:val="24"/>
          <w:highlight w:val="none"/>
          <w:u w:val="single"/>
        </w:rPr>
        <w:t xml:space="preserve">          </w:t>
      </w:r>
      <w:r>
        <w:rPr>
          <w:rFonts w:hint="eastAsia" w:ascii="宋体" w:hAnsi="宋体"/>
          <w:sz w:val="24"/>
          <w:highlight w:val="none"/>
        </w:rPr>
        <w:t>元投标保证金，当可以退回时，请退回到我公司以下帐户：</w:t>
      </w:r>
    </w:p>
    <w:p>
      <w:pPr>
        <w:numPr>
          <w:ilvl w:val="1"/>
          <w:numId w:val="25"/>
        </w:numPr>
        <w:spacing w:line="360" w:lineRule="auto"/>
        <w:outlineLvl w:val="0"/>
        <w:rPr>
          <w:rFonts w:ascii="宋体" w:hAnsi="宋体"/>
          <w:sz w:val="24"/>
          <w:highlight w:val="none"/>
        </w:rPr>
      </w:pPr>
      <w:bookmarkStart w:id="253" w:name="_Toc20618"/>
      <w:r>
        <w:rPr>
          <w:rFonts w:hint="eastAsia" w:ascii="宋体" w:hAnsi="宋体"/>
          <w:sz w:val="24"/>
          <w:highlight w:val="none"/>
        </w:rPr>
        <w:t>开户名：</w:t>
      </w:r>
      <w:bookmarkEnd w:id="253"/>
      <w:r>
        <w:rPr>
          <w:rFonts w:hint="eastAsia" w:ascii="宋体" w:hAnsi="宋体"/>
          <w:sz w:val="24"/>
          <w:highlight w:val="none"/>
        </w:rPr>
        <w:t xml:space="preserve">                                </w:t>
      </w:r>
    </w:p>
    <w:p>
      <w:pPr>
        <w:numPr>
          <w:ilvl w:val="1"/>
          <w:numId w:val="25"/>
        </w:numPr>
        <w:spacing w:line="360" w:lineRule="auto"/>
        <w:outlineLvl w:val="0"/>
        <w:rPr>
          <w:rFonts w:ascii="宋体" w:hAnsi="宋体"/>
          <w:sz w:val="24"/>
          <w:highlight w:val="none"/>
        </w:rPr>
      </w:pPr>
      <w:bookmarkStart w:id="254" w:name="_Toc19678"/>
      <w:r>
        <w:rPr>
          <w:rFonts w:hint="eastAsia" w:ascii="宋体" w:hAnsi="宋体"/>
          <w:sz w:val="24"/>
          <w:highlight w:val="none"/>
        </w:rPr>
        <w:t>开户行：</w:t>
      </w:r>
      <w:bookmarkEnd w:id="254"/>
      <w:r>
        <w:rPr>
          <w:rFonts w:hint="eastAsia" w:ascii="宋体" w:hAnsi="宋体"/>
          <w:sz w:val="24"/>
          <w:highlight w:val="none"/>
        </w:rPr>
        <w:t xml:space="preserve">                                </w:t>
      </w:r>
    </w:p>
    <w:p>
      <w:pPr>
        <w:numPr>
          <w:ilvl w:val="1"/>
          <w:numId w:val="25"/>
        </w:numPr>
        <w:spacing w:line="360" w:lineRule="auto"/>
        <w:outlineLvl w:val="0"/>
        <w:rPr>
          <w:rFonts w:ascii="宋体" w:hAnsi="宋体"/>
          <w:sz w:val="24"/>
          <w:highlight w:val="none"/>
        </w:rPr>
      </w:pPr>
      <w:bookmarkStart w:id="255" w:name="_Toc20442"/>
      <w:r>
        <w:rPr>
          <w:rFonts w:hint="eastAsia" w:ascii="宋体" w:hAnsi="宋体"/>
          <w:sz w:val="24"/>
          <w:highlight w:val="none"/>
        </w:rPr>
        <w:t>帐  号：</w:t>
      </w:r>
      <w:bookmarkEnd w:id="255"/>
      <w:r>
        <w:rPr>
          <w:rFonts w:hint="eastAsia" w:ascii="宋体" w:hAnsi="宋体"/>
          <w:sz w:val="24"/>
          <w:highlight w:val="none"/>
        </w:rPr>
        <w:t xml:space="preserve">                                </w:t>
      </w:r>
    </w:p>
    <w:p>
      <w:pPr>
        <w:spacing w:line="360" w:lineRule="auto"/>
        <w:ind w:firstLine="477" w:firstLineChars="199"/>
        <w:rPr>
          <w:rFonts w:ascii="宋体" w:hAnsi="宋体"/>
          <w:sz w:val="24"/>
          <w:highlight w:val="none"/>
        </w:rPr>
      </w:pPr>
    </w:p>
    <w:p>
      <w:pPr>
        <w:spacing w:line="400" w:lineRule="exact"/>
        <w:ind w:firstLine="4080" w:firstLineChars="1700"/>
        <w:rPr>
          <w:rFonts w:ascii="宋体" w:hAnsi="宋体"/>
          <w:sz w:val="24"/>
          <w:highlight w:val="none"/>
        </w:rPr>
      </w:pPr>
    </w:p>
    <w:p>
      <w:pPr>
        <w:spacing w:line="400" w:lineRule="exact"/>
        <w:ind w:firstLine="4080" w:firstLineChars="1700"/>
        <w:rPr>
          <w:rFonts w:ascii="宋体" w:hAnsi="宋体"/>
          <w:sz w:val="24"/>
          <w:highlight w:val="none"/>
        </w:rPr>
      </w:pPr>
    </w:p>
    <w:p>
      <w:pPr>
        <w:spacing w:line="400" w:lineRule="exact"/>
        <w:ind w:firstLine="4080" w:firstLineChars="1700"/>
        <w:rPr>
          <w:rFonts w:ascii="宋体" w:hAnsi="宋体"/>
          <w:sz w:val="24"/>
          <w:highlight w:val="none"/>
        </w:rPr>
      </w:pPr>
    </w:p>
    <w:p>
      <w:pPr>
        <w:spacing w:line="400" w:lineRule="exact"/>
        <w:ind w:firstLine="4080" w:firstLineChars="1700"/>
        <w:rPr>
          <w:rFonts w:ascii="宋体" w:hAnsi="宋体"/>
          <w:sz w:val="24"/>
          <w:highlight w:val="none"/>
        </w:rPr>
      </w:pPr>
    </w:p>
    <w:p>
      <w:pPr>
        <w:spacing w:line="400" w:lineRule="exact"/>
        <w:ind w:firstLine="4080" w:firstLineChars="1700"/>
        <w:rPr>
          <w:rFonts w:ascii="宋体" w:hAnsi="宋体"/>
          <w:sz w:val="24"/>
          <w:highlight w:val="none"/>
        </w:rPr>
      </w:pPr>
    </w:p>
    <w:p>
      <w:pPr>
        <w:spacing w:line="380" w:lineRule="exact"/>
        <w:ind w:right="480"/>
        <w:rPr>
          <w:rFonts w:ascii="宋体" w:hAnsi="宋体"/>
          <w:sz w:val="24"/>
          <w:highlight w:val="none"/>
          <w:u w:val="single"/>
        </w:rPr>
      </w:pPr>
      <w:r>
        <w:rPr>
          <w:rFonts w:hint="eastAsia" w:ascii="宋体" w:hAnsi="宋体"/>
          <w:sz w:val="24"/>
          <w:highlight w:val="none"/>
        </w:rPr>
        <w:t xml:space="preserve">投标人代表签字： </w:t>
      </w:r>
      <w:r>
        <w:rPr>
          <w:rFonts w:hint="eastAsia" w:ascii="宋体" w:hAnsi="宋体"/>
          <w:sz w:val="24"/>
          <w:highlight w:val="none"/>
          <w:u w:val="single"/>
        </w:rPr>
        <w:t xml:space="preserve">                       </w:t>
      </w:r>
    </w:p>
    <w:p>
      <w:pPr>
        <w:spacing w:line="380" w:lineRule="exact"/>
        <w:rPr>
          <w:rFonts w:ascii="宋体" w:hAnsi="宋体"/>
          <w:sz w:val="24"/>
          <w:highlight w:val="none"/>
        </w:rPr>
      </w:pPr>
      <w:r>
        <w:rPr>
          <w:rFonts w:hint="eastAsia" w:ascii="宋体" w:hAnsi="宋体"/>
          <w:sz w:val="24"/>
          <w:highlight w:val="none"/>
        </w:rPr>
        <w:t>投标人（全称并加盖公章）：</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exact"/>
        <w:rPr>
          <w:rFonts w:ascii="宋体" w:hAnsi="宋体"/>
          <w:sz w:val="24"/>
          <w:highlight w:val="none"/>
        </w:rPr>
      </w:pPr>
      <w:r>
        <w:rPr>
          <w:rFonts w:hint="eastAsia" w:ascii="宋体" w:hAnsi="宋体"/>
          <w:sz w:val="24"/>
          <w:highlight w:val="none"/>
        </w:rPr>
        <w:t xml:space="preserve">日  期： </w:t>
      </w:r>
      <w:r>
        <w:rPr>
          <w:rFonts w:hint="eastAsia" w:ascii="宋体" w:hAnsi="宋体"/>
          <w:sz w:val="24"/>
          <w:highlight w:val="none"/>
          <w:u w:val="single"/>
        </w:rPr>
        <w:t xml:space="preserve">    </w:t>
      </w:r>
      <w:r>
        <w:rPr>
          <w:rFonts w:hint="eastAsia" w:ascii="宋体" w:hAnsi="宋体"/>
          <w:sz w:val="24"/>
          <w:highlight w:val="none"/>
        </w:rPr>
        <w:t xml:space="preserve">年 </w:t>
      </w:r>
      <w:r>
        <w:rPr>
          <w:rFonts w:hint="eastAsia" w:ascii="宋体" w:hAnsi="宋体"/>
          <w:sz w:val="24"/>
          <w:highlight w:val="none"/>
          <w:u w:val="single"/>
        </w:rPr>
        <w:t xml:space="preserve">   </w:t>
      </w:r>
      <w:r>
        <w:rPr>
          <w:rFonts w:hint="eastAsia" w:ascii="宋体" w:hAnsi="宋体"/>
          <w:sz w:val="24"/>
          <w:highlight w:val="none"/>
        </w:rPr>
        <w:t xml:space="preserve">月 </w:t>
      </w:r>
      <w:r>
        <w:rPr>
          <w:rFonts w:hint="eastAsia" w:ascii="宋体" w:hAnsi="宋体"/>
          <w:sz w:val="24"/>
          <w:highlight w:val="none"/>
          <w:u w:val="single"/>
        </w:rPr>
        <w:t xml:space="preserve">   </w:t>
      </w:r>
      <w:r>
        <w:rPr>
          <w:rFonts w:hint="eastAsia" w:ascii="宋体" w:hAnsi="宋体"/>
          <w:sz w:val="24"/>
          <w:highlight w:val="none"/>
        </w:rPr>
        <w:t>日</w:t>
      </w:r>
    </w:p>
    <w:p>
      <w:pPr>
        <w:rPr>
          <w:rFonts w:ascii="宋体" w:hAnsi="宋体"/>
          <w:highlight w:val="none"/>
        </w:rPr>
      </w:pPr>
    </w:p>
    <w:p>
      <w:pPr>
        <w:spacing w:line="360" w:lineRule="auto"/>
        <w:jc w:val="left"/>
        <w:rPr>
          <w:highlight w:val="none"/>
        </w:rPr>
      </w:pPr>
    </w:p>
    <w:p>
      <w:pPr>
        <w:spacing w:line="360" w:lineRule="auto"/>
        <w:jc w:val="left"/>
        <w:rPr>
          <w:rFonts w:ascii="宋体" w:hAnsi="宋体" w:cs="宋体"/>
          <w:highlight w:val="none"/>
        </w:rPr>
      </w:pPr>
    </w:p>
    <w:sectPr>
      <w:pgSz w:w="11906" w:h="16838"/>
      <w:pgMar w:top="1304" w:right="1191" w:bottom="1219"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G Times">
    <w:altName w:val="Times New Roman"/>
    <w:panose1 w:val="02020603050405020304"/>
    <w:charset w:val="00"/>
    <w:family w:val="roman"/>
    <w:pitch w:val="default"/>
    <w:sig w:usb0="00000000" w:usb1="00000000" w:usb2="00000000" w:usb3="00000000" w:csb0="00000093"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ArialUnicodeMS">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fldChar w:fldCharType="begin"/>
    </w:r>
    <w:r>
      <w:rPr>
        <w:rStyle w:val="39"/>
      </w:rPr>
      <w:instrText xml:space="preserve">PAGE  </w:instrText>
    </w:r>
    <w:r>
      <w:fldChar w:fldCharType="separate"/>
    </w:r>
    <w:r>
      <w:rPr>
        <w:rStyle w:val="39"/>
      </w:rPr>
      <w:t>28</w: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fldChar w:fldCharType="begin"/>
    </w:r>
    <w:r>
      <w:rPr>
        <w:rStyle w:val="39"/>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fldChar w:fldCharType="begin"/>
    </w:r>
    <w:r>
      <w:rPr>
        <w:rStyle w:val="39"/>
      </w:rPr>
      <w:instrText xml:space="preserve">PAGE  </w:instrText>
    </w:r>
    <w:r>
      <w:fldChar w:fldCharType="separate"/>
    </w:r>
    <w:r>
      <w:rPr>
        <w:rStyle w:val="39"/>
      </w:rPr>
      <w:t>154</w:t>
    </w:r>
    <w:r>
      <w:fldChar w:fldCharType="end"/>
    </w:r>
  </w:p>
  <w:p>
    <w:pPr>
      <w:pStyle w:val="2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fldChar w:fldCharType="begin"/>
    </w:r>
    <w:r>
      <w:rPr>
        <w:rStyle w:val="39"/>
      </w:rPr>
      <w:instrText xml:space="preserve">PAGE  </w:instrText>
    </w:r>
    <w:r>
      <w:fldChar w:fldCharType="end"/>
    </w:r>
  </w:p>
  <w:p>
    <w:pPr>
      <w:pStyle w:val="2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fldChar w:fldCharType="begin"/>
    </w:r>
    <w:r>
      <w:rPr>
        <w:rStyle w:val="39"/>
      </w:rPr>
      <w:instrText xml:space="preserve">PAGE  </w:instrText>
    </w:r>
    <w:r>
      <w:fldChar w:fldCharType="separate"/>
    </w:r>
    <w:r>
      <w:rPr>
        <w:rStyle w:val="39"/>
      </w:rPr>
      <w:t>177</w:t>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hd w:val="pct5" w:color="auto" w:fill="auto"/>
      <w:jc w:val="both"/>
      <w:rPr>
        <w:szCs w:val="18"/>
      </w:rPr>
    </w:pPr>
    <w:r>
      <w:rPr>
        <w:rFonts w:hint="eastAsia" w:ascii="宋体" w:hAnsi="宋体"/>
        <w:szCs w:val="18"/>
      </w:rPr>
      <w:t>福建中福天缘工程造价咨询有限公司</w:t>
    </w:r>
    <w:r>
      <w:rPr>
        <w:rFonts w:hint="eastAsia" w:eastAsia="仿宋_GB2312"/>
        <w:szCs w:val="18"/>
      </w:rPr>
      <w:t xml:space="preserve">     </w:t>
    </w:r>
    <w:r>
      <w:rPr>
        <w:rFonts w:hint="eastAsia" w:ascii="仿宋_GB2312" w:eastAsia="仿宋_GB2312"/>
        <w:szCs w:val="18"/>
      </w:rPr>
      <w:t xml:space="preserve">           </w:t>
    </w:r>
    <w:r>
      <w:rPr>
        <w:rFonts w:hint="eastAsia" w:ascii="仿宋_GB2312" w:eastAsia="仿宋_GB2312"/>
        <w:color w:val="FF0000"/>
        <w:szCs w:val="18"/>
      </w:rPr>
      <w:t xml:space="preserve">  </w:t>
    </w:r>
    <w:r>
      <w:rPr>
        <w:rFonts w:hint="eastAsia" w:ascii="仿宋_GB2312" w:eastAsia="仿宋_GB2312"/>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rFonts w:hint="eastAsia" w:ascii="宋体" w:hAnsi="宋体"/>
        <w:u w:val="single"/>
      </w:rPr>
      <w:t>采购文件                                                        福建中福天缘工程造价咨询有限公司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hd w:val="pct5" w:color="auto" w:fill="auto"/>
      <w:jc w:val="both"/>
      <w:rPr>
        <w:szCs w:val="18"/>
      </w:rPr>
    </w:pPr>
    <w:r>
      <w:rPr>
        <w:rFonts w:hint="eastAsia" w:ascii="宋体" w:hAnsi="宋体"/>
        <w:szCs w:val="18"/>
      </w:rPr>
      <w:t>福建中福天缘工程造价咨询有限公司</w:t>
    </w:r>
    <w:r>
      <w:rPr>
        <w:rFonts w:hint="eastAsia" w:eastAsia="仿宋_GB2312"/>
        <w:szCs w:val="18"/>
      </w:rPr>
      <w:t xml:space="preserve">     </w:t>
    </w:r>
    <w:r>
      <w:rPr>
        <w:rFonts w:hint="eastAsia" w:ascii="仿宋_GB2312" w:eastAsia="仿宋_GB2312"/>
        <w:szCs w:val="18"/>
      </w:rPr>
      <w:t xml:space="preserve">           </w:t>
    </w:r>
    <w:r>
      <w:rPr>
        <w:rFonts w:hint="eastAsia" w:ascii="仿宋_GB2312" w:eastAsia="仿宋_GB2312"/>
        <w:color w:val="FF0000"/>
        <w:szCs w:val="18"/>
      </w:rPr>
      <w:t xml:space="preserve">  </w:t>
    </w:r>
    <w:r>
      <w:rPr>
        <w:rFonts w:hint="eastAsia" w:ascii="仿宋_GB2312" w:eastAsia="仿宋_GB2312"/>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69E052"/>
    <w:multiLevelType w:val="singleLevel"/>
    <w:tmpl w:val="9F69E052"/>
    <w:lvl w:ilvl="0" w:tentative="0">
      <w:start w:val="3"/>
      <w:numFmt w:val="decimal"/>
      <w:suff w:val="nothing"/>
      <w:lvlText w:val="%1、"/>
      <w:lvlJc w:val="left"/>
    </w:lvl>
  </w:abstractNum>
  <w:abstractNum w:abstractNumId="1">
    <w:nsid w:val="BA903A46"/>
    <w:multiLevelType w:val="singleLevel"/>
    <w:tmpl w:val="BA903A46"/>
    <w:lvl w:ilvl="0" w:tentative="0">
      <w:start w:val="5"/>
      <w:numFmt w:val="chineseCounting"/>
      <w:suff w:val="space"/>
      <w:lvlText w:val="第%1章"/>
      <w:lvlJc w:val="left"/>
      <w:rPr>
        <w:rFonts w:hint="eastAsia"/>
      </w:rPr>
    </w:lvl>
  </w:abstractNum>
  <w:abstractNum w:abstractNumId="2">
    <w:nsid w:val="D83FE66F"/>
    <w:multiLevelType w:val="singleLevel"/>
    <w:tmpl w:val="D83FE66F"/>
    <w:lvl w:ilvl="0" w:tentative="0">
      <w:start w:val="4"/>
      <w:numFmt w:val="decimal"/>
      <w:suff w:val="space"/>
      <w:lvlText w:val="（%1）"/>
      <w:lvlJc w:val="left"/>
      <w:pPr>
        <w:ind w:left="240" w:firstLine="0"/>
      </w:pPr>
    </w:lvl>
  </w:abstractNum>
  <w:abstractNum w:abstractNumId="3">
    <w:nsid w:val="EF1DDC7B"/>
    <w:multiLevelType w:val="multilevel"/>
    <w:tmpl w:val="EF1DDC7B"/>
    <w:lvl w:ilvl="0" w:tentative="0">
      <w:start w:val="1"/>
      <w:numFmt w:val="decimal"/>
      <w:lvlText w:val=""/>
      <w:lvlJc w:val="left"/>
    </w:lvl>
    <w:lvl w:ilvl="1" w:tentative="0">
      <w:start w:val="0"/>
      <w:numFmt w:val="decimal"/>
      <w:lvlText w:val=""/>
      <w:lvlJc w:val="left"/>
    </w:lvl>
    <w:lvl w:ilvl="2" w:tentative="0">
      <w:start w:val="0"/>
      <w:numFmt w:val="decimal"/>
      <w:pStyle w:val="62"/>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0003"/>
    <w:multiLevelType w:val="multilevel"/>
    <w:tmpl w:val="00000003"/>
    <w:lvl w:ilvl="0" w:tentative="0">
      <w:start w:val="1"/>
      <w:numFmt w:val="lowerLetter"/>
      <w:lvlText w:val="(%1)"/>
      <w:lvlJc w:val="left"/>
      <w:pPr>
        <w:tabs>
          <w:tab w:val="left" w:pos="855"/>
        </w:tabs>
        <w:ind w:left="855" w:hanging="435"/>
      </w:pPr>
    </w:lvl>
    <w:lvl w:ilvl="1" w:tentative="0">
      <w:start w:val="1"/>
      <w:numFmt w:val="lowerLetter"/>
      <w:lvlText w:val="%2)"/>
      <w:lvlJc w:val="left"/>
      <w:pPr>
        <w:tabs>
          <w:tab w:val="left" w:pos="780"/>
        </w:tabs>
        <w:ind w:left="780" w:hanging="36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F"/>
    <w:multiLevelType w:val="multilevel"/>
    <w:tmpl w:val="0000000F"/>
    <w:lvl w:ilvl="0" w:tentative="0">
      <w:start w:val="1"/>
      <w:numFmt w:val="lowerLetter"/>
      <w:lvlText w:val="(%1)"/>
      <w:lvlJc w:val="left"/>
      <w:pPr>
        <w:tabs>
          <w:tab w:val="left" w:pos="855"/>
        </w:tabs>
        <w:ind w:left="855" w:hanging="435"/>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5E"/>
    <w:multiLevelType w:val="multilevel"/>
    <w:tmpl w:val="0000005E"/>
    <w:lvl w:ilvl="0" w:tentative="0">
      <w:start w:val="1"/>
      <w:numFmt w:val="lowerLetter"/>
      <w:lvlText w:val="(%1)"/>
      <w:lvlJc w:val="left"/>
      <w:pPr>
        <w:tabs>
          <w:tab w:val="left" w:pos="855"/>
        </w:tabs>
        <w:ind w:left="855" w:hanging="43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4137A71"/>
    <w:multiLevelType w:val="multilevel"/>
    <w:tmpl w:val="04137A71"/>
    <w:lvl w:ilvl="0" w:tentative="0">
      <w:start w:val="1"/>
      <w:numFmt w:val="upp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08F97171"/>
    <w:multiLevelType w:val="multilevel"/>
    <w:tmpl w:val="08F9717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0BD76DD4"/>
    <w:multiLevelType w:val="multilevel"/>
    <w:tmpl w:val="0BD76DD4"/>
    <w:lvl w:ilvl="0" w:tentative="0">
      <w:start w:val="1"/>
      <w:numFmt w:val="decimal"/>
      <w:suff w:val="nothing"/>
      <w:lvlText w:val="%1."/>
      <w:lvlJc w:val="left"/>
      <w:pPr>
        <w:ind w:left="420" w:hanging="420"/>
      </w:pPr>
      <w:rPr>
        <w:rFonts w:hint="eastAsia"/>
        <w:sz w:val="21"/>
        <w:szCs w:val="21"/>
      </w:rPr>
    </w:lvl>
    <w:lvl w:ilvl="1" w:tentative="0">
      <w:start w:val="1"/>
      <w:numFmt w:val="lowerLetter"/>
      <w:pStyle w:val="88"/>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FB67AED"/>
    <w:multiLevelType w:val="multilevel"/>
    <w:tmpl w:val="0FB67AED"/>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106F2FB5"/>
    <w:multiLevelType w:val="multilevel"/>
    <w:tmpl w:val="106F2FB5"/>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2">
    <w:nsid w:val="1D3F3890"/>
    <w:multiLevelType w:val="singleLevel"/>
    <w:tmpl w:val="1D3F3890"/>
    <w:lvl w:ilvl="0" w:tentative="0">
      <w:start w:val="1"/>
      <w:numFmt w:val="lowerLetter"/>
      <w:lvlText w:val="%1."/>
      <w:lvlJc w:val="left"/>
      <w:pPr>
        <w:tabs>
          <w:tab w:val="left" w:pos="960"/>
        </w:tabs>
        <w:ind w:left="960" w:hanging="360"/>
      </w:pPr>
      <w:rPr>
        <w:rFonts w:hint="eastAsia"/>
      </w:rPr>
    </w:lvl>
  </w:abstractNum>
  <w:abstractNum w:abstractNumId="13">
    <w:nsid w:val="23AE074D"/>
    <w:multiLevelType w:val="multilevel"/>
    <w:tmpl w:val="23AE074D"/>
    <w:lvl w:ilvl="0" w:tentative="0">
      <w:start w:val="1"/>
      <w:numFmt w:val="decimal"/>
      <w:lvlText w:val="%1."/>
      <w:lvlJc w:val="left"/>
      <w:pPr>
        <w:tabs>
          <w:tab w:val="left" w:pos="875"/>
        </w:tabs>
        <w:ind w:left="875" w:hanging="397"/>
      </w:pPr>
      <w:rPr>
        <w:rFonts w:hint="eastAsia" w:eastAsia="宋体"/>
        <w:b w:val="0"/>
        <w:i w:val="0"/>
        <w:sz w:val="24"/>
      </w:rPr>
    </w:lvl>
    <w:lvl w:ilvl="1" w:tentative="0">
      <w:start w:val="1"/>
      <w:numFmt w:val="decimal"/>
      <w:lvlText w:val="%2."/>
      <w:lvlJc w:val="left"/>
      <w:pPr>
        <w:tabs>
          <w:tab w:val="left" w:pos="817"/>
        </w:tabs>
        <w:ind w:left="817" w:hanging="397"/>
      </w:pPr>
      <w:rPr>
        <w:rFonts w:hint="eastAsia" w:eastAsia="宋体"/>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8020941"/>
    <w:multiLevelType w:val="multilevel"/>
    <w:tmpl w:val="28020941"/>
    <w:lvl w:ilvl="0" w:tentative="0">
      <w:start w:val="1"/>
      <w:numFmt w:val="chineseCountingThousand"/>
      <w:pStyle w:val="4"/>
      <w:suff w:val="nothing"/>
      <w:lvlText w:val="第%1部分"/>
      <w:lvlJc w:val="left"/>
      <w:pPr>
        <w:ind w:left="0" w:firstLine="0"/>
      </w:pPr>
      <w:rPr>
        <w:rFonts w:hint="eastAsia" w:ascii="黑体" w:eastAsia="黑体"/>
        <w:sz w:val="32"/>
      </w:rPr>
    </w:lvl>
    <w:lvl w:ilvl="1" w:tentative="0">
      <w:start w:val="1"/>
      <w:numFmt w:val="upperLetter"/>
      <w:pStyle w:val="5"/>
      <w:suff w:val="nothing"/>
      <w:lvlText w:val="%2"/>
      <w:lvlJc w:val="left"/>
      <w:pPr>
        <w:ind w:left="0" w:firstLine="0"/>
      </w:pPr>
      <w:rPr>
        <w:rFonts w:hint="default" w:ascii="CG Times" w:hAnsi="CG Times"/>
        <w:b/>
        <w:i w:val="0"/>
        <w:sz w:val="28"/>
      </w:rPr>
    </w:lvl>
    <w:lvl w:ilvl="2" w:tentative="0">
      <w:start w:val="1"/>
      <w:numFmt w:val="decimal"/>
      <w:lvlRestart w:val="0"/>
      <w:pStyle w:val="47"/>
      <w:suff w:val="nothing"/>
      <w:lvlText w:val="%3"/>
      <w:lvlJc w:val="left"/>
      <w:pPr>
        <w:ind w:left="0" w:firstLine="0"/>
      </w:pPr>
      <w:rPr>
        <w:rFonts w:hint="eastAsia" w:ascii="宋体" w:eastAsia="宋体"/>
        <w:b/>
        <w:i w:val="0"/>
        <w:sz w:val="28"/>
      </w:rPr>
    </w:lvl>
    <w:lvl w:ilvl="3" w:tentative="0">
      <w:start w:val="1"/>
      <w:numFmt w:val="none"/>
      <w:suff w:val="nothing"/>
      <w:lvlText w:val=""/>
      <w:lvlJc w:val="left"/>
      <w:pPr>
        <w:ind w:left="0" w:firstLine="0"/>
      </w:pPr>
      <w:rPr>
        <w:rFonts w:hint="eastAsia"/>
      </w:rPr>
    </w:lvl>
    <w:lvl w:ilvl="4" w:tentative="0">
      <w:start w:val="1"/>
      <w:numFmt w:val="none"/>
      <w:pStyle w:val="9"/>
      <w:suff w:val="nothing"/>
      <w:lvlText w:val=""/>
      <w:lvlJc w:val="left"/>
      <w:pPr>
        <w:ind w:left="0" w:firstLine="0"/>
      </w:pPr>
      <w:rPr>
        <w:rFonts w:hint="eastAsia"/>
      </w:rPr>
    </w:lvl>
    <w:lvl w:ilvl="5" w:tentative="0">
      <w:start w:val="1"/>
      <w:numFmt w:val="none"/>
      <w:pStyle w:val="10"/>
      <w:suff w:val="nothing"/>
      <w:lvlText w:val=""/>
      <w:lvlJc w:val="left"/>
      <w:pPr>
        <w:ind w:left="0" w:firstLine="0"/>
      </w:pPr>
      <w:rPr>
        <w:rFonts w:hint="eastAsia"/>
      </w:rPr>
    </w:lvl>
    <w:lvl w:ilvl="6" w:tentative="0">
      <w:start w:val="1"/>
      <w:numFmt w:val="none"/>
      <w:pStyle w:val="11"/>
      <w:suff w:val="nothing"/>
      <w:lvlText w:val=""/>
      <w:lvlJc w:val="left"/>
      <w:pPr>
        <w:ind w:left="0" w:firstLine="0"/>
      </w:pPr>
      <w:rPr>
        <w:rFonts w:hint="eastAsia"/>
      </w:rPr>
    </w:lvl>
    <w:lvl w:ilvl="7" w:tentative="0">
      <w:start w:val="1"/>
      <w:numFmt w:val="none"/>
      <w:pStyle w:val="12"/>
      <w:suff w:val="nothing"/>
      <w:lvlText w:val=""/>
      <w:lvlJc w:val="left"/>
      <w:pPr>
        <w:ind w:left="0" w:firstLine="0"/>
      </w:pPr>
      <w:rPr>
        <w:rFonts w:hint="eastAsia"/>
      </w:rPr>
    </w:lvl>
    <w:lvl w:ilvl="8" w:tentative="0">
      <w:start w:val="1"/>
      <w:numFmt w:val="none"/>
      <w:pStyle w:val="13"/>
      <w:suff w:val="nothing"/>
      <w:lvlText w:val=""/>
      <w:lvlJc w:val="left"/>
      <w:pPr>
        <w:ind w:left="0" w:firstLine="0"/>
      </w:pPr>
      <w:rPr>
        <w:rFonts w:hint="eastAsia"/>
      </w:rPr>
    </w:lvl>
  </w:abstractNum>
  <w:abstractNum w:abstractNumId="15">
    <w:nsid w:val="2C2C4B8D"/>
    <w:multiLevelType w:val="singleLevel"/>
    <w:tmpl w:val="2C2C4B8D"/>
    <w:lvl w:ilvl="0" w:tentative="0">
      <w:start w:val="1"/>
      <w:numFmt w:val="japaneseCounting"/>
      <w:pStyle w:val="59"/>
      <w:lvlText w:val="第%1条"/>
      <w:lvlJc w:val="left"/>
      <w:pPr>
        <w:tabs>
          <w:tab w:val="left" w:pos="1521"/>
        </w:tabs>
        <w:ind w:left="1521" w:hanging="1095"/>
      </w:pPr>
      <w:rPr>
        <w:rFonts w:hint="eastAsia"/>
      </w:rPr>
    </w:lvl>
  </w:abstractNum>
  <w:abstractNum w:abstractNumId="16">
    <w:nsid w:val="37462442"/>
    <w:multiLevelType w:val="multilevel"/>
    <w:tmpl w:val="37462442"/>
    <w:lvl w:ilvl="0" w:tentative="0">
      <w:start w:val="1"/>
      <w:numFmt w:val="decimal"/>
      <w:lvlText w:val="%1"/>
      <w:lvlJc w:val="left"/>
      <w:pPr>
        <w:ind w:left="425" w:hanging="425"/>
      </w:pPr>
      <w:rPr>
        <w:rFonts w:hint="eastAsia"/>
        <w:sz w:val="36"/>
        <w:szCs w:val="36"/>
      </w:rPr>
    </w:lvl>
    <w:lvl w:ilvl="1" w:tentative="0">
      <w:start w:val="1"/>
      <w:numFmt w:val="decimal"/>
      <w:lvlText w:val="%1.%2"/>
      <w:lvlJc w:val="left"/>
      <w:pPr>
        <w:ind w:left="992" w:hanging="567"/>
      </w:pPr>
    </w:lvl>
    <w:lvl w:ilvl="2" w:tentative="0">
      <w:start w:val="1"/>
      <w:numFmt w:val="decimal"/>
      <w:lvlText w:val="%1.%2.%3"/>
      <w:lvlJc w:val="left"/>
      <w:pPr>
        <w:ind w:left="567" w:hanging="567"/>
      </w:pPr>
    </w:lvl>
    <w:lvl w:ilvl="3" w:tentative="0">
      <w:start w:val="1"/>
      <w:numFmt w:val="decimal"/>
      <w:pStyle w:val="8"/>
      <w:lvlText w:val="%1.%2.%3.%4"/>
      <w:lvlJc w:val="left"/>
      <w:pPr>
        <w:ind w:left="1560"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7">
    <w:nsid w:val="4A73D6D3"/>
    <w:multiLevelType w:val="singleLevel"/>
    <w:tmpl w:val="4A73D6D3"/>
    <w:lvl w:ilvl="0" w:tentative="0">
      <w:start w:val="1"/>
      <w:numFmt w:val="chineseCounting"/>
      <w:suff w:val="space"/>
      <w:lvlText w:val="第%1章"/>
      <w:lvlJc w:val="left"/>
      <w:pPr>
        <w:ind w:left="3252" w:firstLine="0"/>
      </w:pPr>
      <w:rPr>
        <w:rFonts w:hint="eastAsia"/>
      </w:rPr>
    </w:lvl>
  </w:abstractNum>
  <w:abstractNum w:abstractNumId="18">
    <w:nsid w:val="4B7465B3"/>
    <w:multiLevelType w:val="singleLevel"/>
    <w:tmpl w:val="4B7465B3"/>
    <w:lvl w:ilvl="0" w:tentative="0">
      <w:start w:val="1"/>
      <w:numFmt w:val="decimal"/>
      <w:lvlText w:val="%1)"/>
      <w:lvlJc w:val="left"/>
      <w:pPr>
        <w:tabs>
          <w:tab w:val="left" w:pos="960"/>
        </w:tabs>
        <w:ind w:left="960" w:hanging="360"/>
      </w:pPr>
      <w:rPr>
        <w:rFonts w:hint="eastAsia"/>
      </w:rPr>
    </w:lvl>
  </w:abstractNum>
  <w:abstractNum w:abstractNumId="19">
    <w:nsid w:val="4C05302D"/>
    <w:multiLevelType w:val="singleLevel"/>
    <w:tmpl w:val="4C05302D"/>
    <w:lvl w:ilvl="0" w:tentative="0">
      <w:start w:val="1"/>
      <w:numFmt w:val="lowerLetter"/>
      <w:lvlText w:val="%1."/>
      <w:lvlJc w:val="left"/>
      <w:pPr>
        <w:tabs>
          <w:tab w:val="left" w:pos="960"/>
        </w:tabs>
        <w:ind w:left="960" w:hanging="360"/>
      </w:pPr>
      <w:rPr>
        <w:rFonts w:hint="eastAsia"/>
      </w:rPr>
    </w:lvl>
  </w:abstractNum>
  <w:abstractNum w:abstractNumId="20">
    <w:nsid w:val="50AF19C3"/>
    <w:multiLevelType w:val="multilevel"/>
    <w:tmpl w:val="50AF19C3"/>
    <w:lvl w:ilvl="0" w:tentative="0">
      <w:start w:val="1"/>
      <w:numFmt w:val="decimal"/>
      <w:lvlText w:val="%1）"/>
      <w:lvlJc w:val="left"/>
      <w:pPr>
        <w:ind w:left="988" w:hanging="420"/>
      </w:pPr>
      <w:rPr>
        <w:rFonts w:hint="eastAsia" w:eastAsia="宋体" w:asciiTheme="minorHAnsi" w:hAnsiTheme="minorHAnsi" w:cstheme="minorBidi"/>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53483916"/>
    <w:multiLevelType w:val="singleLevel"/>
    <w:tmpl w:val="53483916"/>
    <w:lvl w:ilvl="0" w:tentative="0">
      <w:start w:val="1"/>
      <w:numFmt w:val="lowerLetter"/>
      <w:lvlText w:val="%1."/>
      <w:lvlJc w:val="left"/>
      <w:pPr>
        <w:tabs>
          <w:tab w:val="left" w:pos="960"/>
        </w:tabs>
        <w:ind w:left="960" w:hanging="360"/>
      </w:pPr>
      <w:rPr>
        <w:rFonts w:hint="eastAsia"/>
      </w:rPr>
    </w:lvl>
  </w:abstractNum>
  <w:abstractNum w:abstractNumId="22">
    <w:nsid w:val="672C691E"/>
    <w:multiLevelType w:val="singleLevel"/>
    <w:tmpl w:val="672C691E"/>
    <w:lvl w:ilvl="0" w:tentative="0">
      <w:start w:val="1"/>
      <w:numFmt w:val="decimal"/>
      <w:suff w:val="nothing"/>
      <w:lvlText w:val="%1、"/>
      <w:lvlJc w:val="left"/>
    </w:lvl>
  </w:abstractNum>
  <w:abstractNum w:abstractNumId="23">
    <w:nsid w:val="682F23D5"/>
    <w:multiLevelType w:val="singleLevel"/>
    <w:tmpl w:val="682F23D5"/>
    <w:lvl w:ilvl="0" w:tentative="0">
      <w:start w:val="1"/>
      <w:numFmt w:val="lowerLetter"/>
      <w:lvlText w:val="%1."/>
      <w:lvlJc w:val="left"/>
      <w:pPr>
        <w:tabs>
          <w:tab w:val="left" w:pos="960"/>
        </w:tabs>
        <w:ind w:left="960" w:hanging="360"/>
      </w:pPr>
      <w:rPr>
        <w:rFonts w:hint="eastAsia"/>
      </w:rPr>
    </w:lvl>
  </w:abstractNum>
  <w:abstractNum w:abstractNumId="24">
    <w:nsid w:val="7DEC246E"/>
    <w:multiLevelType w:val="multilevel"/>
    <w:tmpl w:val="7DEC246E"/>
    <w:lvl w:ilvl="0" w:tentative="0">
      <w:start w:val="1"/>
      <w:numFmt w:val="decimal"/>
      <w:lvlText w:val="%1）"/>
      <w:lvlJc w:val="left"/>
      <w:pPr>
        <w:ind w:left="900" w:hanging="420"/>
      </w:pPr>
      <w:rPr>
        <w:rFonts w:hint="eastAsia" w:eastAsia="宋体" w:asciiTheme="minorHAnsi" w:hAnsiTheme="minorHAnsi" w:cstheme="minorBidi"/>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4"/>
  </w:num>
  <w:num w:numId="2">
    <w:abstractNumId w:val="16"/>
  </w:num>
  <w:num w:numId="3">
    <w:abstractNumId w:val="15"/>
  </w:num>
  <w:num w:numId="4">
    <w:abstractNumId w:val="3"/>
  </w:num>
  <w:num w:numId="5">
    <w:abstractNumId w:val="9"/>
  </w:num>
  <w:num w:numId="6">
    <w:abstractNumId w:val="17"/>
  </w:num>
  <w:num w:numId="7">
    <w:abstractNumId w:val="2"/>
  </w:num>
  <w:num w:numId="8">
    <w:abstractNumId w:val="1"/>
  </w:num>
  <w:num w:numId="9">
    <w:abstractNumId w:val="22"/>
  </w:num>
  <w:num w:numId="10">
    <w:abstractNumId w:val="5"/>
    <w:lvlOverride w:ilvl="0">
      <w:startOverride w:val="1"/>
    </w:lvlOverride>
  </w:num>
  <w:num w:numId="11">
    <w:abstractNumId w:val="6"/>
    <w:lvlOverride w:ilvl="0">
      <w:startOverride w:val="1"/>
    </w:lvlOverride>
  </w:num>
  <w:num w:numId="12">
    <w:abstractNumId w:val="4"/>
    <w:lvlOverride w:ilvl="0">
      <w:startOverride w:val="1"/>
    </w:lvlOverride>
  </w:num>
  <w:num w:numId="13">
    <w:abstractNumId w:val="20"/>
  </w:num>
  <w:num w:numId="14">
    <w:abstractNumId w:val="24"/>
  </w:num>
  <w:num w:numId="15">
    <w:abstractNumId w:val="8"/>
  </w:num>
  <w:num w:numId="16">
    <w:abstractNumId w:val="7"/>
  </w:num>
  <w:num w:numId="17">
    <w:abstractNumId w:val="10"/>
  </w:num>
  <w:num w:numId="18">
    <w:abstractNumId w:val="11"/>
  </w:num>
  <w:num w:numId="19">
    <w:abstractNumId w:val="18"/>
  </w:num>
  <w:num w:numId="20">
    <w:abstractNumId w:val="23"/>
  </w:num>
  <w:num w:numId="21">
    <w:abstractNumId w:val="21"/>
  </w:num>
  <w:num w:numId="22">
    <w:abstractNumId w:val="19"/>
  </w:num>
  <w:num w:numId="23">
    <w:abstractNumId w:val="12"/>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73"/>
    <w:rsid w:val="000037AC"/>
    <w:rsid w:val="0001287E"/>
    <w:rsid w:val="000226B8"/>
    <w:rsid w:val="0002511A"/>
    <w:rsid w:val="00035463"/>
    <w:rsid w:val="000354F9"/>
    <w:rsid w:val="000478BF"/>
    <w:rsid w:val="00056F95"/>
    <w:rsid w:val="00064B8B"/>
    <w:rsid w:val="000657A3"/>
    <w:rsid w:val="000671EA"/>
    <w:rsid w:val="00071E78"/>
    <w:rsid w:val="0007473C"/>
    <w:rsid w:val="00083231"/>
    <w:rsid w:val="000850CB"/>
    <w:rsid w:val="0009079A"/>
    <w:rsid w:val="000951AC"/>
    <w:rsid w:val="000A023E"/>
    <w:rsid w:val="000A106F"/>
    <w:rsid w:val="000A1E88"/>
    <w:rsid w:val="000A1E9C"/>
    <w:rsid w:val="000A209B"/>
    <w:rsid w:val="000A5280"/>
    <w:rsid w:val="000A7F6D"/>
    <w:rsid w:val="000B1C0F"/>
    <w:rsid w:val="000B3096"/>
    <w:rsid w:val="000B37DF"/>
    <w:rsid w:val="000B629F"/>
    <w:rsid w:val="000C13E2"/>
    <w:rsid w:val="000C2CDF"/>
    <w:rsid w:val="000C3FEF"/>
    <w:rsid w:val="000C70E6"/>
    <w:rsid w:val="000D137A"/>
    <w:rsid w:val="000F29E8"/>
    <w:rsid w:val="000F36E0"/>
    <w:rsid w:val="000F4973"/>
    <w:rsid w:val="000F6BC9"/>
    <w:rsid w:val="000F7E13"/>
    <w:rsid w:val="00100223"/>
    <w:rsid w:val="001320E5"/>
    <w:rsid w:val="00132D6A"/>
    <w:rsid w:val="001343CD"/>
    <w:rsid w:val="0013749C"/>
    <w:rsid w:val="00140EB7"/>
    <w:rsid w:val="00141781"/>
    <w:rsid w:val="00142269"/>
    <w:rsid w:val="0014713F"/>
    <w:rsid w:val="00153234"/>
    <w:rsid w:val="00153E8E"/>
    <w:rsid w:val="00154D8B"/>
    <w:rsid w:val="00155A00"/>
    <w:rsid w:val="001618B0"/>
    <w:rsid w:val="00162EA8"/>
    <w:rsid w:val="00172A27"/>
    <w:rsid w:val="001769CF"/>
    <w:rsid w:val="00181EE2"/>
    <w:rsid w:val="00191347"/>
    <w:rsid w:val="001A0779"/>
    <w:rsid w:val="001A0891"/>
    <w:rsid w:val="001A1FFA"/>
    <w:rsid w:val="001A2027"/>
    <w:rsid w:val="001A2813"/>
    <w:rsid w:val="001A3BFB"/>
    <w:rsid w:val="001B1FE4"/>
    <w:rsid w:val="001B224B"/>
    <w:rsid w:val="001B39F4"/>
    <w:rsid w:val="001B557F"/>
    <w:rsid w:val="001C10BD"/>
    <w:rsid w:val="001C3A43"/>
    <w:rsid w:val="001C3D55"/>
    <w:rsid w:val="001E0127"/>
    <w:rsid w:val="001E1453"/>
    <w:rsid w:val="001E16CF"/>
    <w:rsid w:val="001E51D8"/>
    <w:rsid w:val="001F43B4"/>
    <w:rsid w:val="001F45D1"/>
    <w:rsid w:val="001F7C0C"/>
    <w:rsid w:val="002011B7"/>
    <w:rsid w:val="0020370C"/>
    <w:rsid w:val="00204929"/>
    <w:rsid w:val="00206C86"/>
    <w:rsid w:val="00214BC8"/>
    <w:rsid w:val="00216D84"/>
    <w:rsid w:val="00216F5E"/>
    <w:rsid w:val="00217B01"/>
    <w:rsid w:val="00220F6A"/>
    <w:rsid w:val="002220F0"/>
    <w:rsid w:val="00222D36"/>
    <w:rsid w:val="00224582"/>
    <w:rsid w:val="002275A8"/>
    <w:rsid w:val="0023315F"/>
    <w:rsid w:val="00235DFD"/>
    <w:rsid w:val="00242135"/>
    <w:rsid w:val="00260854"/>
    <w:rsid w:val="00260937"/>
    <w:rsid w:val="00260E89"/>
    <w:rsid w:val="00264917"/>
    <w:rsid w:val="00265661"/>
    <w:rsid w:val="0027160A"/>
    <w:rsid w:val="00277D66"/>
    <w:rsid w:val="00282928"/>
    <w:rsid w:val="0028381A"/>
    <w:rsid w:val="0028388E"/>
    <w:rsid w:val="002926D3"/>
    <w:rsid w:val="00295D74"/>
    <w:rsid w:val="002A0B21"/>
    <w:rsid w:val="002A3457"/>
    <w:rsid w:val="002A4995"/>
    <w:rsid w:val="002A6196"/>
    <w:rsid w:val="002A6EAC"/>
    <w:rsid w:val="002B1714"/>
    <w:rsid w:val="002B3176"/>
    <w:rsid w:val="002B388A"/>
    <w:rsid w:val="002B4217"/>
    <w:rsid w:val="002B5EA0"/>
    <w:rsid w:val="002C10D5"/>
    <w:rsid w:val="002C4513"/>
    <w:rsid w:val="002C4E21"/>
    <w:rsid w:val="002D38CE"/>
    <w:rsid w:val="002E3DD8"/>
    <w:rsid w:val="002F59BC"/>
    <w:rsid w:val="003010ED"/>
    <w:rsid w:val="00301F6A"/>
    <w:rsid w:val="0030369A"/>
    <w:rsid w:val="003037BE"/>
    <w:rsid w:val="0030437E"/>
    <w:rsid w:val="00304EB2"/>
    <w:rsid w:val="003078B1"/>
    <w:rsid w:val="00311024"/>
    <w:rsid w:val="0031799E"/>
    <w:rsid w:val="00320026"/>
    <w:rsid w:val="0032045E"/>
    <w:rsid w:val="00320783"/>
    <w:rsid w:val="0032184D"/>
    <w:rsid w:val="0032356A"/>
    <w:rsid w:val="003264FB"/>
    <w:rsid w:val="003314AD"/>
    <w:rsid w:val="00331D85"/>
    <w:rsid w:val="00331EBC"/>
    <w:rsid w:val="0034283B"/>
    <w:rsid w:val="00347F31"/>
    <w:rsid w:val="00350112"/>
    <w:rsid w:val="00363D6C"/>
    <w:rsid w:val="00367894"/>
    <w:rsid w:val="0036799A"/>
    <w:rsid w:val="0038371C"/>
    <w:rsid w:val="00387AA1"/>
    <w:rsid w:val="00395107"/>
    <w:rsid w:val="00395BEA"/>
    <w:rsid w:val="003A40B5"/>
    <w:rsid w:val="003C126E"/>
    <w:rsid w:val="003C299B"/>
    <w:rsid w:val="003C46D9"/>
    <w:rsid w:val="003D23C0"/>
    <w:rsid w:val="003D36FF"/>
    <w:rsid w:val="003D525F"/>
    <w:rsid w:val="003E06C7"/>
    <w:rsid w:val="0040071B"/>
    <w:rsid w:val="00404A4D"/>
    <w:rsid w:val="0041379C"/>
    <w:rsid w:val="004145CF"/>
    <w:rsid w:val="004166C7"/>
    <w:rsid w:val="00426B51"/>
    <w:rsid w:val="004321D5"/>
    <w:rsid w:val="00434727"/>
    <w:rsid w:val="00434A8C"/>
    <w:rsid w:val="00436899"/>
    <w:rsid w:val="00450AB5"/>
    <w:rsid w:val="004537A4"/>
    <w:rsid w:val="00457ED7"/>
    <w:rsid w:val="00460D04"/>
    <w:rsid w:val="00463C71"/>
    <w:rsid w:val="0046784E"/>
    <w:rsid w:val="00471FCE"/>
    <w:rsid w:val="00473679"/>
    <w:rsid w:val="0047650D"/>
    <w:rsid w:val="00477CDB"/>
    <w:rsid w:val="004948F7"/>
    <w:rsid w:val="00497537"/>
    <w:rsid w:val="004A072D"/>
    <w:rsid w:val="004A113F"/>
    <w:rsid w:val="004B4261"/>
    <w:rsid w:val="004C1670"/>
    <w:rsid w:val="004C4950"/>
    <w:rsid w:val="004C4B7C"/>
    <w:rsid w:val="004D3446"/>
    <w:rsid w:val="004F5709"/>
    <w:rsid w:val="00515F4E"/>
    <w:rsid w:val="00517AB1"/>
    <w:rsid w:val="005240BE"/>
    <w:rsid w:val="00526BB0"/>
    <w:rsid w:val="00534A02"/>
    <w:rsid w:val="00535BBA"/>
    <w:rsid w:val="00543A89"/>
    <w:rsid w:val="005445AE"/>
    <w:rsid w:val="00551DA0"/>
    <w:rsid w:val="00553F2A"/>
    <w:rsid w:val="005601B6"/>
    <w:rsid w:val="00560918"/>
    <w:rsid w:val="00560DDA"/>
    <w:rsid w:val="00562827"/>
    <w:rsid w:val="00566048"/>
    <w:rsid w:val="00566DB5"/>
    <w:rsid w:val="00573F07"/>
    <w:rsid w:val="0058054A"/>
    <w:rsid w:val="00580DB0"/>
    <w:rsid w:val="00583244"/>
    <w:rsid w:val="00584595"/>
    <w:rsid w:val="00590531"/>
    <w:rsid w:val="005945DE"/>
    <w:rsid w:val="005A19A9"/>
    <w:rsid w:val="005A41BB"/>
    <w:rsid w:val="005C29C4"/>
    <w:rsid w:val="005C3977"/>
    <w:rsid w:val="005D2D0F"/>
    <w:rsid w:val="005E5CAB"/>
    <w:rsid w:val="005F2B6B"/>
    <w:rsid w:val="005F5383"/>
    <w:rsid w:val="005F6F9F"/>
    <w:rsid w:val="005F7264"/>
    <w:rsid w:val="00603C55"/>
    <w:rsid w:val="006059C4"/>
    <w:rsid w:val="00606249"/>
    <w:rsid w:val="00612AE0"/>
    <w:rsid w:val="00613FDC"/>
    <w:rsid w:val="00622686"/>
    <w:rsid w:val="006237D1"/>
    <w:rsid w:val="00634001"/>
    <w:rsid w:val="006375F8"/>
    <w:rsid w:val="006451DA"/>
    <w:rsid w:val="0064737A"/>
    <w:rsid w:val="006478A9"/>
    <w:rsid w:val="0065009D"/>
    <w:rsid w:val="00657E3C"/>
    <w:rsid w:val="00664215"/>
    <w:rsid w:val="006660CC"/>
    <w:rsid w:val="00671D25"/>
    <w:rsid w:val="006726A9"/>
    <w:rsid w:val="00673271"/>
    <w:rsid w:val="0067378F"/>
    <w:rsid w:val="0068130B"/>
    <w:rsid w:val="00682799"/>
    <w:rsid w:val="006868F3"/>
    <w:rsid w:val="00692E2D"/>
    <w:rsid w:val="00697CF8"/>
    <w:rsid w:val="006A1261"/>
    <w:rsid w:val="006A13F0"/>
    <w:rsid w:val="006B2A9B"/>
    <w:rsid w:val="006C02C9"/>
    <w:rsid w:val="006C1A6B"/>
    <w:rsid w:val="006C548F"/>
    <w:rsid w:val="006D4692"/>
    <w:rsid w:val="006E5D6C"/>
    <w:rsid w:val="006F3033"/>
    <w:rsid w:val="006F3F38"/>
    <w:rsid w:val="00700DFB"/>
    <w:rsid w:val="0071381F"/>
    <w:rsid w:val="007174EE"/>
    <w:rsid w:val="00717844"/>
    <w:rsid w:val="00734AF2"/>
    <w:rsid w:val="007362C6"/>
    <w:rsid w:val="00743480"/>
    <w:rsid w:val="007448F1"/>
    <w:rsid w:val="007452E2"/>
    <w:rsid w:val="00751385"/>
    <w:rsid w:val="00752F1E"/>
    <w:rsid w:val="007534A7"/>
    <w:rsid w:val="007538CA"/>
    <w:rsid w:val="007610DF"/>
    <w:rsid w:val="007658FB"/>
    <w:rsid w:val="00766B06"/>
    <w:rsid w:val="007724AA"/>
    <w:rsid w:val="00775981"/>
    <w:rsid w:val="007870B9"/>
    <w:rsid w:val="007870F1"/>
    <w:rsid w:val="00787F42"/>
    <w:rsid w:val="00793E72"/>
    <w:rsid w:val="007B0945"/>
    <w:rsid w:val="007B20E1"/>
    <w:rsid w:val="007B63CE"/>
    <w:rsid w:val="007C65A7"/>
    <w:rsid w:val="007D1B2A"/>
    <w:rsid w:val="007D5DFB"/>
    <w:rsid w:val="007D7C85"/>
    <w:rsid w:val="007E3D1E"/>
    <w:rsid w:val="007E4CDD"/>
    <w:rsid w:val="007F14D2"/>
    <w:rsid w:val="007F53F8"/>
    <w:rsid w:val="007F5491"/>
    <w:rsid w:val="007F5ABC"/>
    <w:rsid w:val="00810834"/>
    <w:rsid w:val="008171A3"/>
    <w:rsid w:val="00817679"/>
    <w:rsid w:val="0082150D"/>
    <w:rsid w:val="00822992"/>
    <w:rsid w:val="00824B3E"/>
    <w:rsid w:val="00832164"/>
    <w:rsid w:val="00832754"/>
    <w:rsid w:val="00840F2D"/>
    <w:rsid w:val="0084200D"/>
    <w:rsid w:val="00844E05"/>
    <w:rsid w:val="00850B2F"/>
    <w:rsid w:val="0085125F"/>
    <w:rsid w:val="00861B0F"/>
    <w:rsid w:val="00863F5B"/>
    <w:rsid w:val="0087023E"/>
    <w:rsid w:val="00874A1B"/>
    <w:rsid w:val="0088189D"/>
    <w:rsid w:val="00882ABA"/>
    <w:rsid w:val="00884136"/>
    <w:rsid w:val="008879DD"/>
    <w:rsid w:val="00891038"/>
    <w:rsid w:val="00893057"/>
    <w:rsid w:val="008954DA"/>
    <w:rsid w:val="00895BB7"/>
    <w:rsid w:val="00895FE8"/>
    <w:rsid w:val="008A2861"/>
    <w:rsid w:val="008A4997"/>
    <w:rsid w:val="008B08E5"/>
    <w:rsid w:val="008B1B28"/>
    <w:rsid w:val="008B3077"/>
    <w:rsid w:val="008B64A7"/>
    <w:rsid w:val="008B7484"/>
    <w:rsid w:val="008C23A0"/>
    <w:rsid w:val="008C7318"/>
    <w:rsid w:val="008D4F75"/>
    <w:rsid w:val="008E007F"/>
    <w:rsid w:val="008E38BA"/>
    <w:rsid w:val="008E7F59"/>
    <w:rsid w:val="008F3252"/>
    <w:rsid w:val="00903C02"/>
    <w:rsid w:val="00906EAF"/>
    <w:rsid w:val="0092297C"/>
    <w:rsid w:val="0092364B"/>
    <w:rsid w:val="00923D46"/>
    <w:rsid w:val="009252B6"/>
    <w:rsid w:val="00926EA7"/>
    <w:rsid w:val="00933335"/>
    <w:rsid w:val="009368D1"/>
    <w:rsid w:val="009378A4"/>
    <w:rsid w:val="0095083A"/>
    <w:rsid w:val="009527F0"/>
    <w:rsid w:val="00952BEB"/>
    <w:rsid w:val="009624DA"/>
    <w:rsid w:val="00962C62"/>
    <w:rsid w:val="009644DF"/>
    <w:rsid w:val="00972CB1"/>
    <w:rsid w:val="0098117C"/>
    <w:rsid w:val="0098201A"/>
    <w:rsid w:val="00983AE6"/>
    <w:rsid w:val="00986A56"/>
    <w:rsid w:val="00986C9D"/>
    <w:rsid w:val="00990AD2"/>
    <w:rsid w:val="00991BC0"/>
    <w:rsid w:val="009930F9"/>
    <w:rsid w:val="0099711B"/>
    <w:rsid w:val="009A3235"/>
    <w:rsid w:val="009A35CC"/>
    <w:rsid w:val="009A44E8"/>
    <w:rsid w:val="009A60C7"/>
    <w:rsid w:val="009B1304"/>
    <w:rsid w:val="009B3EF3"/>
    <w:rsid w:val="009C081A"/>
    <w:rsid w:val="009C5BAF"/>
    <w:rsid w:val="009E17F7"/>
    <w:rsid w:val="009E2E64"/>
    <w:rsid w:val="009E4794"/>
    <w:rsid w:val="009E5716"/>
    <w:rsid w:val="009F22D2"/>
    <w:rsid w:val="009F2FA1"/>
    <w:rsid w:val="009F3586"/>
    <w:rsid w:val="00A03BD3"/>
    <w:rsid w:val="00A07F2E"/>
    <w:rsid w:val="00A24143"/>
    <w:rsid w:val="00A24BFD"/>
    <w:rsid w:val="00A25869"/>
    <w:rsid w:val="00A276BC"/>
    <w:rsid w:val="00A40EC0"/>
    <w:rsid w:val="00A5018B"/>
    <w:rsid w:val="00A52B89"/>
    <w:rsid w:val="00A531F5"/>
    <w:rsid w:val="00A53D7F"/>
    <w:rsid w:val="00A54166"/>
    <w:rsid w:val="00A5445B"/>
    <w:rsid w:val="00A65BED"/>
    <w:rsid w:val="00A66953"/>
    <w:rsid w:val="00A71721"/>
    <w:rsid w:val="00A729C6"/>
    <w:rsid w:val="00A73278"/>
    <w:rsid w:val="00A774A9"/>
    <w:rsid w:val="00A825F8"/>
    <w:rsid w:val="00A86E65"/>
    <w:rsid w:val="00A90340"/>
    <w:rsid w:val="00A91E03"/>
    <w:rsid w:val="00A9238D"/>
    <w:rsid w:val="00A973A5"/>
    <w:rsid w:val="00AA097C"/>
    <w:rsid w:val="00AA30B0"/>
    <w:rsid w:val="00AA7DB3"/>
    <w:rsid w:val="00AB00C0"/>
    <w:rsid w:val="00AB1DE4"/>
    <w:rsid w:val="00AB5073"/>
    <w:rsid w:val="00AC19F2"/>
    <w:rsid w:val="00AC41AF"/>
    <w:rsid w:val="00AD31A5"/>
    <w:rsid w:val="00AD37FB"/>
    <w:rsid w:val="00AD5302"/>
    <w:rsid w:val="00AD7F39"/>
    <w:rsid w:val="00AE0E58"/>
    <w:rsid w:val="00AE13CB"/>
    <w:rsid w:val="00AE1F7A"/>
    <w:rsid w:val="00AE25C7"/>
    <w:rsid w:val="00AE3F14"/>
    <w:rsid w:val="00AE76B0"/>
    <w:rsid w:val="00AF5083"/>
    <w:rsid w:val="00AF5B74"/>
    <w:rsid w:val="00B060CB"/>
    <w:rsid w:val="00B11652"/>
    <w:rsid w:val="00B13159"/>
    <w:rsid w:val="00B13458"/>
    <w:rsid w:val="00B2010F"/>
    <w:rsid w:val="00B203F9"/>
    <w:rsid w:val="00B20F7C"/>
    <w:rsid w:val="00B24A78"/>
    <w:rsid w:val="00B274A3"/>
    <w:rsid w:val="00B34560"/>
    <w:rsid w:val="00B36402"/>
    <w:rsid w:val="00B41CB1"/>
    <w:rsid w:val="00B4289E"/>
    <w:rsid w:val="00B42E4A"/>
    <w:rsid w:val="00B43124"/>
    <w:rsid w:val="00B43970"/>
    <w:rsid w:val="00B46C39"/>
    <w:rsid w:val="00B50342"/>
    <w:rsid w:val="00B5095D"/>
    <w:rsid w:val="00B51B49"/>
    <w:rsid w:val="00B55DD7"/>
    <w:rsid w:val="00B55F6A"/>
    <w:rsid w:val="00B65A77"/>
    <w:rsid w:val="00B701F5"/>
    <w:rsid w:val="00B70DB0"/>
    <w:rsid w:val="00B83F87"/>
    <w:rsid w:val="00B8451F"/>
    <w:rsid w:val="00B87E01"/>
    <w:rsid w:val="00B92A55"/>
    <w:rsid w:val="00B97C35"/>
    <w:rsid w:val="00BA01D7"/>
    <w:rsid w:val="00BA0A24"/>
    <w:rsid w:val="00BA2948"/>
    <w:rsid w:val="00BA3C9D"/>
    <w:rsid w:val="00BA71BF"/>
    <w:rsid w:val="00BB04B0"/>
    <w:rsid w:val="00BB76D5"/>
    <w:rsid w:val="00BC24C2"/>
    <w:rsid w:val="00BD6E67"/>
    <w:rsid w:val="00BE0165"/>
    <w:rsid w:val="00BE1855"/>
    <w:rsid w:val="00BE2D8A"/>
    <w:rsid w:val="00BE3CAB"/>
    <w:rsid w:val="00BE3E78"/>
    <w:rsid w:val="00BE6059"/>
    <w:rsid w:val="00BE642F"/>
    <w:rsid w:val="00BE7C31"/>
    <w:rsid w:val="00BF0D6A"/>
    <w:rsid w:val="00BF4682"/>
    <w:rsid w:val="00BF6210"/>
    <w:rsid w:val="00BF6B37"/>
    <w:rsid w:val="00C04D88"/>
    <w:rsid w:val="00C0573A"/>
    <w:rsid w:val="00C05A55"/>
    <w:rsid w:val="00C10D81"/>
    <w:rsid w:val="00C112FE"/>
    <w:rsid w:val="00C113FA"/>
    <w:rsid w:val="00C11DCD"/>
    <w:rsid w:val="00C12574"/>
    <w:rsid w:val="00C17EB0"/>
    <w:rsid w:val="00C22A7C"/>
    <w:rsid w:val="00C25795"/>
    <w:rsid w:val="00C27607"/>
    <w:rsid w:val="00C31CA9"/>
    <w:rsid w:val="00C32A85"/>
    <w:rsid w:val="00C351B5"/>
    <w:rsid w:val="00C37852"/>
    <w:rsid w:val="00C37999"/>
    <w:rsid w:val="00C42843"/>
    <w:rsid w:val="00C52137"/>
    <w:rsid w:val="00C54A14"/>
    <w:rsid w:val="00C62158"/>
    <w:rsid w:val="00C62892"/>
    <w:rsid w:val="00C664D1"/>
    <w:rsid w:val="00C93E61"/>
    <w:rsid w:val="00C943D2"/>
    <w:rsid w:val="00C94B4C"/>
    <w:rsid w:val="00C94BBA"/>
    <w:rsid w:val="00CA023E"/>
    <w:rsid w:val="00CA0827"/>
    <w:rsid w:val="00CA145B"/>
    <w:rsid w:val="00CA324C"/>
    <w:rsid w:val="00CA36EA"/>
    <w:rsid w:val="00CA3FEA"/>
    <w:rsid w:val="00CA6EDE"/>
    <w:rsid w:val="00CB1CD5"/>
    <w:rsid w:val="00CB3025"/>
    <w:rsid w:val="00CB31C3"/>
    <w:rsid w:val="00CB6339"/>
    <w:rsid w:val="00CB6894"/>
    <w:rsid w:val="00CC29DB"/>
    <w:rsid w:val="00CC5FE2"/>
    <w:rsid w:val="00CC788E"/>
    <w:rsid w:val="00CD06E2"/>
    <w:rsid w:val="00CD226F"/>
    <w:rsid w:val="00CD41B1"/>
    <w:rsid w:val="00CD5453"/>
    <w:rsid w:val="00CD5FEF"/>
    <w:rsid w:val="00CD7BBA"/>
    <w:rsid w:val="00CE5452"/>
    <w:rsid w:val="00CE791C"/>
    <w:rsid w:val="00CF2012"/>
    <w:rsid w:val="00CF4989"/>
    <w:rsid w:val="00CF7984"/>
    <w:rsid w:val="00D0346F"/>
    <w:rsid w:val="00D06276"/>
    <w:rsid w:val="00D13413"/>
    <w:rsid w:val="00D15C0E"/>
    <w:rsid w:val="00D21DDA"/>
    <w:rsid w:val="00D2798D"/>
    <w:rsid w:val="00D333A6"/>
    <w:rsid w:val="00D33A16"/>
    <w:rsid w:val="00D438B3"/>
    <w:rsid w:val="00D47390"/>
    <w:rsid w:val="00D513CD"/>
    <w:rsid w:val="00D56C67"/>
    <w:rsid w:val="00D61D9E"/>
    <w:rsid w:val="00D62C65"/>
    <w:rsid w:val="00D66955"/>
    <w:rsid w:val="00D83BBC"/>
    <w:rsid w:val="00D85531"/>
    <w:rsid w:val="00D85DD1"/>
    <w:rsid w:val="00D91D8A"/>
    <w:rsid w:val="00D920C1"/>
    <w:rsid w:val="00D960A3"/>
    <w:rsid w:val="00DA0CF0"/>
    <w:rsid w:val="00DA29AB"/>
    <w:rsid w:val="00DB2201"/>
    <w:rsid w:val="00DB2DBF"/>
    <w:rsid w:val="00DB4BCD"/>
    <w:rsid w:val="00DC1877"/>
    <w:rsid w:val="00DD03BE"/>
    <w:rsid w:val="00DD128F"/>
    <w:rsid w:val="00DD6BBE"/>
    <w:rsid w:val="00DE4C81"/>
    <w:rsid w:val="00DE59A1"/>
    <w:rsid w:val="00DF46A6"/>
    <w:rsid w:val="00E05140"/>
    <w:rsid w:val="00E107A3"/>
    <w:rsid w:val="00E24764"/>
    <w:rsid w:val="00E250A9"/>
    <w:rsid w:val="00E25652"/>
    <w:rsid w:val="00E34C3E"/>
    <w:rsid w:val="00E37E6A"/>
    <w:rsid w:val="00E41480"/>
    <w:rsid w:val="00E41C0D"/>
    <w:rsid w:val="00E456D0"/>
    <w:rsid w:val="00E47A46"/>
    <w:rsid w:val="00E6153A"/>
    <w:rsid w:val="00E636CD"/>
    <w:rsid w:val="00E63F98"/>
    <w:rsid w:val="00E725A8"/>
    <w:rsid w:val="00E769FB"/>
    <w:rsid w:val="00E7748E"/>
    <w:rsid w:val="00E8218C"/>
    <w:rsid w:val="00E835AC"/>
    <w:rsid w:val="00E837A0"/>
    <w:rsid w:val="00E85640"/>
    <w:rsid w:val="00E90822"/>
    <w:rsid w:val="00EA038C"/>
    <w:rsid w:val="00EB1B45"/>
    <w:rsid w:val="00EB2FBB"/>
    <w:rsid w:val="00EC1F51"/>
    <w:rsid w:val="00EC25C1"/>
    <w:rsid w:val="00EC28A3"/>
    <w:rsid w:val="00EC4D58"/>
    <w:rsid w:val="00EC545E"/>
    <w:rsid w:val="00EC5C30"/>
    <w:rsid w:val="00ED0EE4"/>
    <w:rsid w:val="00EE2387"/>
    <w:rsid w:val="00EE7F43"/>
    <w:rsid w:val="00EF3A49"/>
    <w:rsid w:val="00EF53D0"/>
    <w:rsid w:val="00EF6188"/>
    <w:rsid w:val="00F027BC"/>
    <w:rsid w:val="00F0479C"/>
    <w:rsid w:val="00F06333"/>
    <w:rsid w:val="00F10CD4"/>
    <w:rsid w:val="00F161C8"/>
    <w:rsid w:val="00F20B49"/>
    <w:rsid w:val="00F20F62"/>
    <w:rsid w:val="00F35039"/>
    <w:rsid w:val="00F355A3"/>
    <w:rsid w:val="00F36BD2"/>
    <w:rsid w:val="00F401F2"/>
    <w:rsid w:val="00F43456"/>
    <w:rsid w:val="00F43961"/>
    <w:rsid w:val="00F44AB5"/>
    <w:rsid w:val="00F50E57"/>
    <w:rsid w:val="00F51697"/>
    <w:rsid w:val="00F5221D"/>
    <w:rsid w:val="00F55368"/>
    <w:rsid w:val="00F769FA"/>
    <w:rsid w:val="00F770C3"/>
    <w:rsid w:val="00F77813"/>
    <w:rsid w:val="00F77FC7"/>
    <w:rsid w:val="00F82DE0"/>
    <w:rsid w:val="00F8361A"/>
    <w:rsid w:val="00F83F83"/>
    <w:rsid w:val="00F86E77"/>
    <w:rsid w:val="00FA18C8"/>
    <w:rsid w:val="00FA6FA2"/>
    <w:rsid w:val="00FB42CD"/>
    <w:rsid w:val="00FB459E"/>
    <w:rsid w:val="00FB4FA5"/>
    <w:rsid w:val="00FC3D86"/>
    <w:rsid w:val="00FC44B5"/>
    <w:rsid w:val="00FD3B40"/>
    <w:rsid w:val="00FD3BB7"/>
    <w:rsid w:val="00FD74F3"/>
    <w:rsid w:val="00FE12C4"/>
    <w:rsid w:val="00FE58B0"/>
    <w:rsid w:val="00FF0772"/>
    <w:rsid w:val="00FF13E8"/>
    <w:rsid w:val="00FF14C2"/>
    <w:rsid w:val="00FF5C6F"/>
    <w:rsid w:val="01891E2A"/>
    <w:rsid w:val="02AD023B"/>
    <w:rsid w:val="02CA5237"/>
    <w:rsid w:val="03BF1572"/>
    <w:rsid w:val="03E875D0"/>
    <w:rsid w:val="04F2644A"/>
    <w:rsid w:val="057E3CEA"/>
    <w:rsid w:val="05812CD1"/>
    <w:rsid w:val="05814DF6"/>
    <w:rsid w:val="059F6D59"/>
    <w:rsid w:val="05B179EE"/>
    <w:rsid w:val="05D15F25"/>
    <w:rsid w:val="06E66924"/>
    <w:rsid w:val="06E96536"/>
    <w:rsid w:val="08220599"/>
    <w:rsid w:val="089D293F"/>
    <w:rsid w:val="08E61051"/>
    <w:rsid w:val="092D451C"/>
    <w:rsid w:val="09694717"/>
    <w:rsid w:val="0A786ED0"/>
    <w:rsid w:val="0A854B94"/>
    <w:rsid w:val="0AA364B8"/>
    <w:rsid w:val="0BC41079"/>
    <w:rsid w:val="0BE836B2"/>
    <w:rsid w:val="0C6B43B2"/>
    <w:rsid w:val="0D3C08E4"/>
    <w:rsid w:val="0D452206"/>
    <w:rsid w:val="0D552066"/>
    <w:rsid w:val="0D6251AD"/>
    <w:rsid w:val="0D875BFB"/>
    <w:rsid w:val="0DE229D2"/>
    <w:rsid w:val="0F465B81"/>
    <w:rsid w:val="0FB6203B"/>
    <w:rsid w:val="10133DBC"/>
    <w:rsid w:val="10E20645"/>
    <w:rsid w:val="1165261F"/>
    <w:rsid w:val="11714BA0"/>
    <w:rsid w:val="11A14B7B"/>
    <w:rsid w:val="12120765"/>
    <w:rsid w:val="13046FF9"/>
    <w:rsid w:val="14245A24"/>
    <w:rsid w:val="14DF2512"/>
    <w:rsid w:val="155368FE"/>
    <w:rsid w:val="15C50938"/>
    <w:rsid w:val="15E907BE"/>
    <w:rsid w:val="1616423D"/>
    <w:rsid w:val="167C4718"/>
    <w:rsid w:val="17276230"/>
    <w:rsid w:val="17430B3E"/>
    <w:rsid w:val="17707929"/>
    <w:rsid w:val="180A5F05"/>
    <w:rsid w:val="180F6E20"/>
    <w:rsid w:val="18470050"/>
    <w:rsid w:val="18E627C4"/>
    <w:rsid w:val="19C336FB"/>
    <w:rsid w:val="19D7057B"/>
    <w:rsid w:val="1A881764"/>
    <w:rsid w:val="1AD1365F"/>
    <w:rsid w:val="1AF6245F"/>
    <w:rsid w:val="1BFE079C"/>
    <w:rsid w:val="1C0F590A"/>
    <w:rsid w:val="1C8333AD"/>
    <w:rsid w:val="1C873073"/>
    <w:rsid w:val="1D9A03BE"/>
    <w:rsid w:val="1E9E61F6"/>
    <w:rsid w:val="1ED07DEF"/>
    <w:rsid w:val="1F090A9E"/>
    <w:rsid w:val="1F3E7B53"/>
    <w:rsid w:val="1F7305AF"/>
    <w:rsid w:val="1FBD35B8"/>
    <w:rsid w:val="1FD43DB4"/>
    <w:rsid w:val="223F392F"/>
    <w:rsid w:val="22573827"/>
    <w:rsid w:val="22765C4E"/>
    <w:rsid w:val="229F3FF0"/>
    <w:rsid w:val="23157E8F"/>
    <w:rsid w:val="233E3B66"/>
    <w:rsid w:val="234921CE"/>
    <w:rsid w:val="23502714"/>
    <w:rsid w:val="23692E4C"/>
    <w:rsid w:val="237C273E"/>
    <w:rsid w:val="240B754D"/>
    <w:rsid w:val="24D46E96"/>
    <w:rsid w:val="254C6141"/>
    <w:rsid w:val="257456F3"/>
    <w:rsid w:val="25A56CA1"/>
    <w:rsid w:val="25CA0A2F"/>
    <w:rsid w:val="2644693B"/>
    <w:rsid w:val="26D44FB9"/>
    <w:rsid w:val="27312820"/>
    <w:rsid w:val="27504FE2"/>
    <w:rsid w:val="27BB373E"/>
    <w:rsid w:val="27FF1988"/>
    <w:rsid w:val="285661B4"/>
    <w:rsid w:val="285E43A8"/>
    <w:rsid w:val="29173DEC"/>
    <w:rsid w:val="2A015DDB"/>
    <w:rsid w:val="2A39593B"/>
    <w:rsid w:val="2B2D3E8B"/>
    <w:rsid w:val="2BCE3DF2"/>
    <w:rsid w:val="2BE9556E"/>
    <w:rsid w:val="2CDC119A"/>
    <w:rsid w:val="2CF57BD5"/>
    <w:rsid w:val="2D206968"/>
    <w:rsid w:val="2D79124B"/>
    <w:rsid w:val="2D840A02"/>
    <w:rsid w:val="2E282E0C"/>
    <w:rsid w:val="2E7D074A"/>
    <w:rsid w:val="2FC23C09"/>
    <w:rsid w:val="2FC9686A"/>
    <w:rsid w:val="2FDF025C"/>
    <w:rsid w:val="303E46A2"/>
    <w:rsid w:val="304760E8"/>
    <w:rsid w:val="307E39BE"/>
    <w:rsid w:val="31134A6B"/>
    <w:rsid w:val="3117647A"/>
    <w:rsid w:val="317D69FE"/>
    <w:rsid w:val="31F3764C"/>
    <w:rsid w:val="32C92E0E"/>
    <w:rsid w:val="32DF6948"/>
    <w:rsid w:val="33BB3022"/>
    <w:rsid w:val="33C616DF"/>
    <w:rsid w:val="34867A5E"/>
    <w:rsid w:val="352B412E"/>
    <w:rsid w:val="35BA5F7D"/>
    <w:rsid w:val="35C8559D"/>
    <w:rsid w:val="35D72E2B"/>
    <w:rsid w:val="365D16C8"/>
    <w:rsid w:val="37420448"/>
    <w:rsid w:val="37632491"/>
    <w:rsid w:val="37C77009"/>
    <w:rsid w:val="37F502E3"/>
    <w:rsid w:val="380927E6"/>
    <w:rsid w:val="38581D96"/>
    <w:rsid w:val="38BA10B5"/>
    <w:rsid w:val="38DB2974"/>
    <w:rsid w:val="39C67275"/>
    <w:rsid w:val="39D47E26"/>
    <w:rsid w:val="3B45302D"/>
    <w:rsid w:val="3B6B4246"/>
    <w:rsid w:val="3B903586"/>
    <w:rsid w:val="3BEC4537"/>
    <w:rsid w:val="3CE822D4"/>
    <w:rsid w:val="3E144BEF"/>
    <w:rsid w:val="3E461585"/>
    <w:rsid w:val="3EBA7FCD"/>
    <w:rsid w:val="3F821E2B"/>
    <w:rsid w:val="406A4AC9"/>
    <w:rsid w:val="40727916"/>
    <w:rsid w:val="41436210"/>
    <w:rsid w:val="41D17A99"/>
    <w:rsid w:val="42A304E1"/>
    <w:rsid w:val="42F17FDE"/>
    <w:rsid w:val="43755A28"/>
    <w:rsid w:val="437B6F6A"/>
    <w:rsid w:val="437E39C9"/>
    <w:rsid w:val="438554C0"/>
    <w:rsid w:val="43C2089E"/>
    <w:rsid w:val="43EA797C"/>
    <w:rsid w:val="44673B3A"/>
    <w:rsid w:val="44E4490C"/>
    <w:rsid w:val="45BE2BB4"/>
    <w:rsid w:val="469A532F"/>
    <w:rsid w:val="46C153BC"/>
    <w:rsid w:val="471B1FD0"/>
    <w:rsid w:val="490212F9"/>
    <w:rsid w:val="49B96854"/>
    <w:rsid w:val="4B222468"/>
    <w:rsid w:val="4B50362C"/>
    <w:rsid w:val="4B7B7AFA"/>
    <w:rsid w:val="4C255E2E"/>
    <w:rsid w:val="4C2C0673"/>
    <w:rsid w:val="4C540DE3"/>
    <w:rsid w:val="4C667D4D"/>
    <w:rsid w:val="4CD47B35"/>
    <w:rsid w:val="4CFE1A09"/>
    <w:rsid w:val="4D8C0F3B"/>
    <w:rsid w:val="4DDF0635"/>
    <w:rsid w:val="4EB01B12"/>
    <w:rsid w:val="4EB90E5E"/>
    <w:rsid w:val="4EDF436E"/>
    <w:rsid w:val="4EE20B6F"/>
    <w:rsid w:val="4F234670"/>
    <w:rsid w:val="500C1372"/>
    <w:rsid w:val="504158AD"/>
    <w:rsid w:val="50650898"/>
    <w:rsid w:val="506800F3"/>
    <w:rsid w:val="510611A0"/>
    <w:rsid w:val="511D0F58"/>
    <w:rsid w:val="513B5538"/>
    <w:rsid w:val="51BC1766"/>
    <w:rsid w:val="51C44A0F"/>
    <w:rsid w:val="51FF7A19"/>
    <w:rsid w:val="523F3B43"/>
    <w:rsid w:val="523F70B4"/>
    <w:rsid w:val="52E731FD"/>
    <w:rsid w:val="54024AD2"/>
    <w:rsid w:val="54743E9E"/>
    <w:rsid w:val="54BD6D63"/>
    <w:rsid w:val="56B521EE"/>
    <w:rsid w:val="56F4606E"/>
    <w:rsid w:val="57833BBC"/>
    <w:rsid w:val="57A065E0"/>
    <w:rsid w:val="583F684E"/>
    <w:rsid w:val="58592760"/>
    <w:rsid w:val="58A40EEB"/>
    <w:rsid w:val="591D3355"/>
    <w:rsid w:val="593A2822"/>
    <w:rsid w:val="59C71103"/>
    <w:rsid w:val="5A2B51FA"/>
    <w:rsid w:val="5AB64D9E"/>
    <w:rsid w:val="5AC37664"/>
    <w:rsid w:val="5BD72A80"/>
    <w:rsid w:val="5BEB6506"/>
    <w:rsid w:val="5C274210"/>
    <w:rsid w:val="5C3018AC"/>
    <w:rsid w:val="5D3B6947"/>
    <w:rsid w:val="5D4D5A32"/>
    <w:rsid w:val="5D6B0717"/>
    <w:rsid w:val="5DDA2536"/>
    <w:rsid w:val="5E2366F7"/>
    <w:rsid w:val="5E2C15B5"/>
    <w:rsid w:val="5ECB3268"/>
    <w:rsid w:val="5F0F335D"/>
    <w:rsid w:val="60132B88"/>
    <w:rsid w:val="60963654"/>
    <w:rsid w:val="60BD7EB0"/>
    <w:rsid w:val="60E95043"/>
    <w:rsid w:val="60FB6A80"/>
    <w:rsid w:val="61C82C8C"/>
    <w:rsid w:val="621959C6"/>
    <w:rsid w:val="62240AC6"/>
    <w:rsid w:val="62AC6C7B"/>
    <w:rsid w:val="638739F5"/>
    <w:rsid w:val="63E92D36"/>
    <w:rsid w:val="64B73759"/>
    <w:rsid w:val="65545EFC"/>
    <w:rsid w:val="66033E11"/>
    <w:rsid w:val="672B5613"/>
    <w:rsid w:val="673B1711"/>
    <w:rsid w:val="67510657"/>
    <w:rsid w:val="678F7E6C"/>
    <w:rsid w:val="68D00C16"/>
    <w:rsid w:val="68FF5856"/>
    <w:rsid w:val="694F2CB2"/>
    <w:rsid w:val="699212C9"/>
    <w:rsid w:val="69930097"/>
    <w:rsid w:val="6A2F3E95"/>
    <w:rsid w:val="6A8E087C"/>
    <w:rsid w:val="6ACF1C46"/>
    <w:rsid w:val="6B874864"/>
    <w:rsid w:val="6BA503B5"/>
    <w:rsid w:val="6BB74DF3"/>
    <w:rsid w:val="6C39008A"/>
    <w:rsid w:val="6E3E6090"/>
    <w:rsid w:val="6E4C1BFC"/>
    <w:rsid w:val="6E93038E"/>
    <w:rsid w:val="6EF8577C"/>
    <w:rsid w:val="6F241E79"/>
    <w:rsid w:val="6FF11CC0"/>
    <w:rsid w:val="738D5249"/>
    <w:rsid w:val="74306B6D"/>
    <w:rsid w:val="74636696"/>
    <w:rsid w:val="755B3E9C"/>
    <w:rsid w:val="76124DA0"/>
    <w:rsid w:val="76A825CD"/>
    <w:rsid w:val="77C925BA"/>
    <w:rsid w:val="77F63CDC"/>
    <w:rsid w:val="791C3432"/>
    <w:rsid w:val="796E14EE"/>
    <w:rsid w:val="7A247DFE"/>
    <w:rsid w:val="7AA5262F"/>
    <w:rsid w:val="7BA82AF4"/>
    <w:rsid w:val="7BC27BCF"/>
    <w:rsid w:val="7C9B1154"/>
    <w:rsid w:val="7D3A6281"/>
    <w:rsid w:val="7DB100F7"/>
    <w:rsid w:val="7E7C5C4D"/>
    <w:rsid w:val="7E9F4E74"/>
    <w:rsid w:val="7F2074AC"/>
    <w:rsid w:val="7F676860"/>
    <w:rsid w:val="7F936145"/>
    <w:rsid w:val="7FB46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4"/>
    <w:qFormat/>
    <w:uiPriority w:val="0"/>
    <w:pPr>
      <w:keepNext/>
      <w:keepLines/>
      <w:numPr>
        <w:ilvl w:val="0"/>
        <w:numId w:val="1"/>
      </w:numPr>
      <w:spacing w:before="340" w:after="330" w:line="578" w:lineRule="auto"/>
      <w:jc w:val="center"/>
      <w:outlineLvl w:val="0"/>
    </w:pPr>
    <w:rPr>
      <w:rFonts w:eastAsia="黑体"/>
      <w:b/>
      <w:kern w:val="44"/>
      <w:sz w:val="36"/>
      <w:szCs w:val="20"/>
    </w:rPr>
  </w:style>
  <w:style w:type="paragraph" w:styleId="5">
    <w:name w:val="heading 2"/>
    <w:basedOn w:val="1"/>
    <w:next w:val="6"/>
    <w:qFormat/>
    <w:uiPriority w:val="0"/>
    <w:pPr>
      <w:keepNext/>
      <w:keepLines/>
      <w:numPr>
        <w:ilvl w:val="1"/>
        <w:numId w:val="1"/>
      </w:numPr>
      <w:spacing w:before="260" w:after="260" w:line="415" w:lineRule="auto"/>
      <w:jc w:val="center"/>
      <w:outlineLvl w:val="1"/>
    </w:pPr>
    <w:rPr>
      <w:rFonts w:ascii="CG Times" w:hAnsi="CG Times"/>
      <w:b/>
      <w:sz w:val="30"/>
      <w:szCs w:val="20"/>
    </w:rPr>
  </w:style>
  <w:style w:type="paragraph" w:styleId="7">
    <w:name w:val="heading 3"/>
    <w:basedOn w:val="1"/>
    <w:next w:val="1"/>
    <w:link w:val="111"/>
    <w:qFormat/>
    <w:uiPriority w:val="0"/>
    <w:pPr>
      <w:keepNext/>
      <w:keepLines/>
      <w:spacing w:before="260" w:after="260" w:line="416" w:lineRule="auto"/>
      <w:outlineLvl w:val="2"/>
    </w:pPr>
    <w:rPr>
      <w:b/>
      <w:bCs/>
      <w:sz w:val="32"/>
      <w:szCs w:val="32"/>
    </w:rPr>
  </w:style>
  <w:style w:type="paragraph" w:styleId="8">
    <w:name w:val="heading 4"/>
    <w:basedOn w:val="1"/>
    <w:next w:val="1"/>
    <w:link w:val="100"/>
    <w:qFormat/>
    <w:uiPriority w:val="0"/>
    <w:pPr>
      <w:keepNext/>
      <w:keepLines/>
      <w:numPr>
        <w:ilvl w:val="3"/>
        <w:numId w:val="2"/>
      </w:numPr>
      <w:spacing w:before="280" w:after="290" w:line="360" w:lineRule="auto"/>
      <w:outlineLvl w:val="3"/>
    </w:pPr>
    <w:rPr>
      <w:rFonts w:ascii="宋体" w:hAnsi="宋体"/>
      <w:b/>
      <w:bCs/>
      <w:sz w:val="28"/>
      <w:szCs w:val="28"/>
    </w:rPr>
  </w:style>
  <w:style w:type="paragraph" w:styleId="9">
    <w:name w:val="heading 5"/>
    <w:basedOn w:val="1"/>
    <w:next w:val="6"/>
    <w:qFormat/>
    <w:uiPriority w:val="0"/>
    <w:pPr>
      <w:keepNext/>
      <w:keepLines/>
      <w:numPr>
        <w:ilvl w:val="4"/>
        <w:numId w:val="1"/>
      </w:numPr>
      <w:spacing w:before="280" w:after="290" w:line="376" w:lineRule="auto"/>
      <w:outlineLvl w:val="4"/>
    </w:pPr>
    <w:rPr>
      <w:b/>
      <w:sz w:val="28"/>
      <w:szCs w:val="20"/>
    </w:rPr>
  </w:style>
  <w:style w:type="paragraph" w:styleId="10">
    <w:name w:val="heading 6"/>
    <w:basedOn w:val="1"/>
    <w:next w:val="6"/>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11">
    <w:name w:val="heading 7"/>
    <w:basedOn w:val="1"/>
    <w:next w:val="6"/>
    <w:qFormat/>
    <w:uiPriority w:val="0"/>
    <w:pPr>
      <w:keepNext/>
      <w:keepLines/>
      <w:numPr>
        <w:ilvl w:val="6"/>
        <w:numId w:val="1"/>
      </w:numPr>
      <w:spacing w:before="240" w:after="64" w:line="320" w:lineRule="auto"/>
      <w:outlineLvl w:val="6"/>
    </w:pPr>
    <w:rPr>
      <w:b/>
      <w:sz w:val="24"/>
      <w:szCs w:val="20"/>
    </w:rPr>
  </w:style>
  <w:style w:type="paragraph" w:styleId="12">
    <w:name w:val="heading 8"/>
    <w:basedOn w:val="1"/>
    <w:next w:val="6"/>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3">
    <w:name w:val="heading 9"/>
    <w:basedOn w:val="1"/>
    <w:next w:val="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7">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jc w:val="left"/>
      <w:textAlignment w:val="top"/>
    </w:pPr>
    <w:rPr>
      <w:sz w:val="18"/>
    </w:rPr>
  </w:style>
  <w:style w:type="paragraph" w:styleId="3">
    <w:name w:val="Body Text"/>
    <w:basedOn w:val="1"/>
    <w:qFormat/>
    <w:uiPriority w:val="0"/>
    <w:pPr>
      <w:spacing w:line="380" w:lineRule="exact"/>
    </w:pPr>
    <w:rPr>
      <w:sz w:val="24"/>
    </w:rPr>
  </w:style>
  <w:style w:type="paragraph" w:styleId="6">
    <w:name w:val="Normal Indent"/>
    <w:basedOn w:val="1"/>
    <w:link w:val="121"/>
    <w:qFormat/>
    <w:uiPriority w:val="0"/>
    <w:pPr>
      <w:ind w:firstLine="420"/>
    </w:pPr>
    <w:rPr>
      <w:szCs w:val="20"/>
    </w:rPr>
  </w:style>
  <w:style w:type="paragraph" w:styleId="14">
    <w:name w:val="List Number 2"/>
    <w:basedOn w:val="1"/>
    <w:qFormat/>
    <w:uiPriority w:val="0"/>
    <w:pPr>
      <w:widowControl/>
      <w:tabs>
        <w:tab w:val="left" w:pos="420"/>
        <w:tab w:val="left" w:pos="540"/>
      </w:tabs>
      <w:spacing w:line="360" w:lineRule="auto"/>
      <w:ind w:left="834" w:hanging="360"/>
      <w:jc w:val="left"/>
    </w:pPr>
    <w:rPr>
      <w:rFonts w:ascii="宋体" w:hAnsi="宋体"/>
      <w:kern w:val="0"/>
      <w:sz w:val="24"/>
      <w:szCs w:val="20"/>
      <w:lang w:eastAsia="en-US" w:bidi="en-US"/>
    </w:rPr>
  </w:style>
  <w:style w:type="paragraph" w:styleId="15">
    <w:name w:val="Document Map"/>
    <w:basedOn w:val="1"/>
    <w:qFormat/>
    <w:uiPriority w:val="0"/>
    <w:rPr>
      <w:rFonts w:ascii="宋体"/>
      <w:sz w:val="18"/>
      <w:szCs w:val="18"/>
    </w:rPr>
  </w:style>
  <w:style w:type="paragraph" w:styleId="16">
    <w:name w:val="toa heading"/>
    <w:basedOn w:val="1"/>
    <w:next w:val="1"/>
    <w:qFormat/>
    <w:uiPriority w:val="0"/>
    <w:pPr>
      <w:spacing w:before="120"/>
    </w:pPr>
    <w:rPr>
      <w:rFonts w:ascii="Arial" w:hAnsi="Arial" w:cs="Arial"/>
      <w:sz w:val="24"/>
    </w:rPr>
  </w:style>
  <w:style w:type="paragraph" w:styleId="17">
    <w:name w:val="Body Text Indent"/>
    <w:basedOn w:val="1"/>
    <w:qFormat/>
    <w:uiPriority w:val="0"/>
    <w:pPr>
      <w:spacing w:after="120"/>
      <w:ind w:left="420" w:leftChars="200"/>
    </w:pPr>
  </w:style>
  <w:style w:type="paragraph" w:styleId="18">
    <w:name w:val="toc 3"/>
    <w:basedOn w:val="1"/>
    <w:next w:val="1"/>
    <w:qFormat/>
    <w:uiPriority w:val="39"/>
    <w:pPr>
      <w:ind w:left="840" w:leftChars="400"/>
    </w:pPr>
    <w:rPr>
      <w:szCs w:val="20"/>
    </w:rPr>
  </w:style>
  <w:style w:type="paragraph" w:styleId="19">
    <w:name w:val="Plain Text"/>
    <w:basedOn w:val="1"/>
    <w:link w:val="117"/>
    <w:qFormat/>
    <w:uiPriority w:val="0"/>
    <w:rPr>
      <w:rFonts w:ascii="宋体" w:hAnsi="Courier New"/>
      <w:szCs w:val="20"/>
    </w:rPr>
  </w:style>
  <w:style w:type="paragraph" w:styleId="20">
    <w:name w:val="Body Text Indent 2"/>
    <w:basedOn w:val="1"/>
    <w:qFormat/>
    <w:uiPriority w:val="0"/>
    <w:pPr>
      <w:spacing w:after="120" w:line="480" w:lineRule="auto"/>
      <w:ind w:left="420" w:leftChars="200"/>
    </w:pPr>
  </w:style>
  <w:style w:type="paragraph" w:styleId="21">
    <w:name w:val="Balloon Text"/>
    <w:basedOn w:val="1"/>
    <w:qFormat/>
    <w:uiPriority w:val="0"/>
    <w:rPr>
      <w:sz w:val="18"/>
      <w:szCs w:val="18"/>
    </w:rPr>
  </w:style>
  <w:style w:type="paragraph" w:styleId="22">
    <w:name w:val="footer"/>
    <w:basedOn w:val="1"/>
    <w:link w:val="107"/>
    <w:qFormat/>
    <w:uiPriority w:val="99"/>
    <w:pPr>
      <w:tabs>
        <w:tab w:val="center" w:pos="4153"/>
        <w:tab w:val="right" w:pos="8306"/>
      </w:tabs>
      <w:snapToGrid w:val="0"/>
      <w:jc w:val="left"/>
    </w:pPr>
    <w:rPr>
      <w:sz w:val="18"/>
      <w:szCs w:val="18"/>
    </w:rPr>
  </w:style>
  <w:style w:type="paragraph" w:styleId="23">
    <w:name w:val="header"/>
    <w:basedOn w:val="1"/>
    <w:link w:val="113"/>
    <w:qFormat/>
    <w:uiPriority w:val="0"/>
    <w:pPr>
      <w:pBdr>
        <w:bottom w:val="single" w:color="auto" w:sz="6" w:space="1"/>
      </w:pBdr>
      <w:tabs>
        <w:tab w:val="center" w:pos="4153"/>
        <w:tab w:val="right" w:pos="8306"/>
      </w:tabs>
      <w:snapToGrid w:val="0"/>
      <w:jc w:val="center"/>
    </w:pPr>
    <w:rPr>
      <w:sz w:val="18"/>
      <w:szCs w:val="20"/>
    </w:rPr>
  </w:style>
  <w:style w:type="paragraph" w:styleId="24">
    <w:name w:val="toc 1"/>
    <w:basedOn w:val="1"/>
    <w:next w:val="1"/>
    <w:qFormat/>
    <w:uiPriority w:val="39"/>
    <w:rPr>
      <w:szCs w:val="20"/>
    </w:rPr>
  </w:style>
  <w:style w:type="paragraph" w:styleId="25">
    <w:name w:val="Body Text Indent 3"/>
    <w:basedOn w:val="1"/>
    <w:qFormat/>
    <w:uiPriority w:val="0"/>
    <w:pPr>
      <w:ind w:firstLine="280" w:firstLineChars="100"/>
    </w:pPr>
    <w:rPr>
      <w:sz w:val="28"/>
      <w:szCs w:val="20"/>
    </w:rPr>
  </w:style>
  <w:style w:type="paragraph" w:styleId="26">
    <w:name w:val="toc 2"/>
    <w:basedOn w:val="1"/>
    <w:next w:val="1"/>
    <w:qFormat/>
    <w:uiPriority w:val="39"/>
    <w:pPr>
      <w:ind w:left="278"/>
      <w:jc w:val="left"/>
    </w:pPr>
    <w:rPr>
      <w:iCs/>
      <w:szCs w:val="20"/>
    </w:rPr>
  </w:style>
  <w:style w:type="paragraph" w:styleId="27">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9">
    <w:name w:val="index 1"/>
    <w:basedOn w:val="1"/>
    <w:next w:val="1"/>
    <w:qFormat/>
    <w:uiPriority w:val="0"/>
    <w:pPr>
      <w:spacing w:line="480" w:lineRule="exact"/>
    </w:pPr>
    <w:rPr>
      <w:rFonts w:ascii="宋体" w:hAnsi="宋体"/>
      <w:b/>
      <w:sz w:val="24"/>
    </w:rPr>
  </w:style>
  <w:style w:type="paragraph" w:styleId="30">
    <w:name w:val="Title"/>
    <w:basedOn w:val="1"/>
    <w:next w:val="1"/>
    <w:qFormat/>
    <w:uiPriority w:val="0"/>
    <w:pPr>
      <w:widowControl/>
      <w:spacing w:before="240" w:after="60"/>
      <w:jc w:val="center"/>
      <w:outlineLvl w:val="0"/>
    </w:pPr>
    <w:rPr>
      <w:rFonts w:ascii="Cambria" w:hAnsi="Cambria"/>
      <w:b/>
      <w:bCs/>
      <w:kern w:val="28"/>
      <w:sz w:val="32"/>
      <w:szCs w:val="32"/>
    </w:rPr>
  </w:style>
  <w:style w:type="paragraph" w:styleId="31">
    <w:name w:val="Body Text First Indent"/>
    <w:basedOn w:val="3"/>
    <w:qFormat/>
    <w:uiPriority w:val="0"/>
    <w:pPr>
      <w:spacing w:after="120" w:line="240" w:lineRule="auto"/>
      <w:ind w:firstLine="420" w:firstLineChars="100"/>
    </w:pPr>
    <w:rPr>
      <w:sz w:val="21"/>
    </w:rPr>
  </w:style>
  <w:style w:type="paragraph" w:styleId="32">
    <w:name w:val="Body Text First Indent 2"/>
    <w:basedOn w:val="17"/>
    <w:qFormat/>
    <w:uiPriority w:val="99"/>
    <w:pPr>
      <w:ind w:firstLine="420" w:firstLineChars="200"/>
    </w:pPr>
  </w:style>
  <w:style w:type="table" w:styleId="34">
    <w:name w:val="Table Grid"/>
    <w:basedOn w:val="3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5">
    <w:name w:val="Light Shading Accent 2"/>
    <w:basedOn w:val="33"/>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36">
    <w:name w:val="Light Shading Accent 3"/>
    <w:basedOn w:val="33"/>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character" w:styleId="38">
    <w:name w:val="Strong"/>
    <w:basedOn w:val="37"/>
    <w:qFormat/>
    <w:uiPriority w:val="0"/>
    <w:rPr>
      <w:b/>
      <w:bCs/>
    </w:rPr>
  </w:style>
  <w:style w:type="character" w:styleId="39">
    <w:name w:val="page number"/>
    <w:basedOn w:val="37"/>
    <w:qFormat/>
    <w:uiPriority w:val="0"/>
  </w:style>
  <w:style w:type="character" w:styleId="40">
    <w:name w:val="FollowedHyperlink"/>
    <w:qFormat/>
    <w:uiPriority w:val="99"/>
    <w:rPr>
      <w:color w:val="800080"/>
      <w:u w:val="single"/>
    </w:rPr>
  </w:style>
  <w:style w:type="character" w:styleId="41">
    <w:name w:val="Emphasis"/>
    <w:qFormat/>
    <w:uiPriority w:val="0"/>
    <w:rPr>
      <w:rFonts w:ascii="Calibri" w:hAnsi="Calibri"/>
      <w:b/>
      <w:i/>
      <w:iCs/>
    </w:rPr>
  </w:style>
  <w:style w:type="character" w:styleId="42">
    <w:name w:val="Hyperlink"/>
    <w:qFormat/>
    <w:uiPriority w:val="99"/>
    <w:rPr>
      <w:color w:val="000000"/>
      <w:sz w:val="18"/>
      <w:szCs w:val="18"/>
      <w:u w:val="none"/>
    </w:rPr>
  </w:style>
  <w:style w:type="character" w:styleId="43">
    <w:name w:val="footnote reference"/>
    <w:qFormat/>
    <w:uiPriority w:val="0"/>
    <w:rPr>
      <w:vertAlign w:val="superscript"/>
    </w:rPr>
  </w:style>
  <w:style w:type="paragraph" w:customStyle="1" w:styleId="44">
    <w:name w:val="样式3"/>
    <w:basedOn w:val="19"/>
    <w:qFormat/>
    <w:uiPriority w:val="0"/>
    <w:pPr>
      <w:spacing w:line="0" w:lineRule="atLeast"/>
      <w:outlineLvl w:val="0"/>
    </w:pPr>
    <w:rPr>
      <w:sz w:val="28"/>
    </w:rPr>
  </w:style>
  <w:style w:type="paragraph" w:customStyle="1" w:styleId="45">
    <w:name w:val="pa-3"/>
    <w:basedOn w:val="1"/>
    <w:qFormat/>
    <w:uiPriority w:val="0"/>
    <w:pPr>
      <w:widowControl/>
      <w:spacing w:line="280" w:lineRule="atLeast"/>
    </w:pPr>
    <w:rPr>
      <w:rFonts w:ascii="宋体" w:hAnsi="宋体" w:cs="宋体"/>
      <w:kern w:val="0"/>
      <w:sz w:val="24"/>
    </w:rPr>
  </w:style>
  <w:style w:type="paragraph" w:customStyle="1" w:styleId="4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47">
    <w:name w:val="(符号)五标题1.1.1"/>
    <w:basedOn w:val="1"/>
    <w:qFormat/>
    <w:uiPriority w:val="0"/>
    <w:pPr>
      <w:numPr>
        <w:ilvl w:val="2"/>
        <w:numId w:val="1"/>
      </w:numPr>
      <w:tabs>
        <w:tab w:val="left" w:pos="1000"/>
      </w:tabs>
      <w:spacing w:line="500" w:lineRule="exact"/>
    </w:pPr>
    <w:rPr>
      <w:rFonts w:ascii="宋体" w:hAnsi="宋体" w:cs="宋体"/>
      <w:color w:val="000000"/>
      <w:sz w:val="24"/>
      <w:szCs w:val="20"/>
    </w:rPr>
  </w:style>
  <w:style w:type="paragraph" w:customStyle="1" w:styleId="48">
    <w:name w:val="xl22"/>
    <w:basedOn w:val="1"/>
    <w:uiPriority w:val="0"/>
    <w:pPr>
      <w:widowControl/>
      <w:spacing w:before="100" w:beforeAutospacing="1" w:after="100" w:afterAutospacing="1"/>
      <w:jc w:val="center"/>
    </w:pPr>
    <w:rPr>
      <w:rFonts w:ascii="宋体" w:hAnsi="宋体"/>
      <w:kern w:val="0"/>
      <w:sz w:val="24"/>
      <w:szCs w:val="20"/>
    </w:rPr>
  </w:style>
  <w:style w:type="paragraph" w:customStyle="1" w:styleId="49">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表格样式居左"/>
    <w:link w:val="112"/>
    <w:qFormat/>
    <w:uiPriority w:val="0"/>
    <w:pPr>
      <w:adjustRightInd w:val="0"/>
      <w:snapToGrid w:val="0"/>
      <w:spacing w:line="360" w:lineRule="exact"/>
      <w:jc w:val="center"/>
    </w:pPr>
    <w:rPr>
      <w:rFonts w:ascii="Times New Roman" w:hAnsi="Times New Roman" w:eastAsia="仿宋_GB2312" w:cs="Times New Roman"/>
      <w:bCs/>
      <w:color w:val="000000"/>
      <w:sz w:val="21"/>
      <w:szCs w:val="44"/>
      <w:lang w:val="en-US" w:eastAsia="zh-CN" w:bidi="ar-SA"/>
    </w:rPr>
  </w:style>
  <w:style w:type="paragraph" w:customStyle="1" w:styleId="51">
    <w:name w:val="Char Char Char Char Char Char Char"/>
    <w:basedOn w:val="1"/>
    <w:qFormat/>
    <w:uiPriority w:val="0"/>
    <w:rPr>
      <w:szCs w:val="20"/>
    </w:rPr>
  </w:style>
  <w:style w:type="paragraph" w:customStyle="1" w:styleId="52">
    <w:name w:val="默认段落字体 Para Char Char Char Char"/>
    <w:basedOn w:val="1"/>
    <w:qFormat/>
    <w:uiPriority w:val="0"/>
  </w:style>
  <w:style w:type="paragraph" w:customStyle="1" w:styleId="53">
    <w:name w:val="pa-4"/>
    <w:basedOn w:val="1"/>
    <w:uiPriority w:val="0"/>
    <w:pPr>
      <w:widowControl/>
      <w:spacing w:line="240" w:lineRule="atLeast"/>
    </w:pPr>
    <w:rPr>
      <w:rFonts w:ascii="宋体" w:hAnsi="宋体" w:cs="宋体"/>
      <w:kern w:val="0"/>
      <w:sz w:val="24"/>
    </w:rPr>
  </w:style>
  <w:style w:type="paragraph" w:customStyle="1" w:styleId="54">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Normal_6"/>
    <w:qFormat/>
    <w:uiPriority w:val="0"/>
    <w:rPr>
      <w:rFonts w:ascii="黑体" w:hAnsi="黑体" w:eastAsia="黑体" w:cs="Times New Roman"/>
      <w:b/>
      <w:sz w:val="32"/>
      <w:szCs w:val="24"/>
      <w:lang w:val="en-US" w:eastAsia="zh-CN" w:bidi="ar-SA"/>
    </w:rPr>
  </w:style>
  <w:style w:type="paragraph" w:customStyle="1" w:styleId="5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8">
    <w:name w:val="Normal_5"/>
    <w:qFormat/>
    <w:uiPriority w:val="0"/>
    <w:rPr>
      <w:rFonts w:ascii="黑体" w:hAnsi="黑体" w:eastAsia="黑体" w:cs="Times New Roman"/>
      <w:b/>
      <w:sz w:val="32"/>
      <w:szCs w:val="24"/>
      <w:lang w:val="en-US" w:eastAsia="zh-CN" w:bidi="ar-SA"/>
    </w:rPr>
  </w:style>
  <w:style w:type="paragraph" w:customStyle="1" w:styleId="59">
    <w:name w:val="(符号)三标题1.1"/>
    <w:basedOn w:val="1"/>
    <w:qFormat/>
    <w:uiPriority w:val="0"/>
    <w:pPr>
      <w:numPr>
        <w:ilvl w:val="0"/>
        <w:numId w:val="3"/>
      </w:numPr>
      <w:tabs>
        <w:tab w:val="left" w:pos="420"/>
        <w:tab w:val="clear" w:pos="1521"/>
      </w:tabs>
      <w:spacing w:before="140" w:after="140" w:line="500" w:lineRule="exact"/>
      <w:outlineLvl w:val="2"/>
    </w:pPr>
    <w:rPr>
      <w:rFonts w:ascii="楷体_GB2312" w:hAnsi="宋体" w:eastAsia="楷体_GB2312" w:cs="宋体"/>
      <w:b/>
      <w:bCs/>
      <w:sz w:val="28"/>
      <w:szCs w:val="20"/>
    </w:rPr>
  </w:style>
  <w:style w:type="paragraph" w:customStyle="1" w:styleId="60">
    <w:name w:val="文档正文"/>
    <w:basedOn w:val="1"/>
    <w:qFormat/>
    <w:uiPriority w:val="0"/>
    <w:pPr>
      <w:ind w:firstLine="567"/>
    </w:pPr>
    <w:rPr>
      <w:rFonts w:ascii="长城仿宋" w:eastAsia="长城仿宋"/>
      <w:sz w:val="28"/>
    </w:rPr>
  </w:style>
  <w:style w:type="paragraph" w:customStyle="1" w:styleId="61">
    <w:name w:val="Char1"/>
    <w:basedOn w:val="1"/>
    <w:qFormat/>
    <w:uiPriority w:val="0"/>
    <w:rPr>
      <w:rFonts w:ascii="Tahoma" w:hAnsi="Tahoma"/>
      <w:sz w:val="24"/>
      <w:szCs w:val="20"/>
    </w:rPr>
  </w:style>
  <w:style w:type="paragraph" w:customStyle="1" w:styleId="62">
    <w:name w:val="标3"/>
    <w:basedOn w:val="1"/>
    <w:qFormat/>
    <w:uiPriority w:val="0"/>
    <w:pPr>
      <w:numPr>
        <w:ilvl w:val="2"/>
        <w:numId w:val="4"/>
      </w:numPr>
      <w:adjustRightInd w:val="0"/>
      <w:snapToGrid w:val="0"/>
      <w:spacing w:before="50"/>
      <w:outlineLvl w:val="2"/>
    </w:pPr>
    <w:rPr>
      <w:rFonts w:ascii="Arial Narrow" w:hAnsi="Arial Narrow" w:eastAsia="仿宋_GB2312"/>
      <w:sz w:val="28"/>
      <w:szCs w:val="20"/>
    </w:rPr>
  </w:style>
  <w:style w:type="paragraph" w:customStyle="1" w:styleId="63">
    <w:name w:val="pa-1"/>
    <w:basedOn w:val="1"/>
    <w:qFormat/>
    <w:uiPriority w:val="0"/>
    <w:pPr>
      <w:widowControl/>
      <w:spacing w:line="240" w:lineRule="atLeast"/>
      <w:jc w:val="center"/>
    </w:pPr>
    <w:rPr>
      <w:rFonts w:ascii="宋体" w:hAnsi="宋体" w:cs="宋体"/>
      <w:kern w:val="0"/>
      <w:sz w:val="24"/>
    </w:rPr>
  </w:style>
  <w:style w:type="paragraph" w:customStyle="1" w:styleId="64">
    <w:name w:val="pa-6"/>
    <w:basedOn w:val="1"/>
    <w:qFormat/>
    <w:uiPriority w:val="0"/>
    <w:pPr>
      <w:widowControl/>
      <w:spacing w:line="360" w:lineRule="atLeast"/>
    </w:pPr>
    <w:rPr>
      <w:rFonts w:ascii="宋体" w:hAnsi="宋体" w:cs="宋体"/>
      <w:kern w:val="0"/>
      <w:sz w:val="24"/>
    </w:rPr>
  </w:style>
  <w:style w:type="paragraph" w:customStyle="1" w:styleId="65">
    <w:name w:val="Char Char Char1"/>
    <w:basedOn w:val="1"/>
    <w:qFormat/>
    <w:uiPriority w:val="0"/>
    <w:pPr>
      <w:tabs>
        <w:tab w:val="left" w:pos="360"/>
      </w:tabs>
    </w:pPr>
    <w:rPr>
      <w:sz w:val="24"/>
    </w:rPr>
  </w:style>
  <w:style w:type="paragraph" w:customStyle="1" w:styleId="66">
    <w:name w:val="Char1 Char Char Char Char Char Char Char Char Char Char Char Char"/>
    <w:basedOn w:val="1"/>
    <w:qFormat/>
    <w:uiPriority w:val="0"/>
    <w:rPr>
      <w:rFonts w:ascii="Tahoma" w:hAnsi="Tahoma"/>
      <w:sz w:val="24"/>
      <w:szCs w:val="20"/>
    </w:rPr>
  </w:style>
  <w:style w:type="paragraph" w:customStyle="1" w:styleId="67">
    <w:name w:val="正文缩进_2_0"/>
    <w:basedOn w:val="54"/>
    <w:qFormat/>
    <w:uiPriority w:val="0"/>
    <w:pPr>
      <w:widowControl/>
      <w:ind w:firstLine="420"/>
      <w:jc w:val="left"/>
    </w:pPr>
    <w:rPr>
      <w:rFonts w:ascii="Times New Roman" w:hAnsi="Times New Roman"/>
      <w:sz w:val="20"/>
      <w:szCs w:val="24"/>
    </w:rPr>
  </w:style>
  <w:style w:type="paragraph" w:customStyle="1" w:styleId="68">
    <w:name w:val="正文0"/>
    <w:basedOn w:val="1"/>
    <w:qFormat/>
    <w:uiPriority w:val="0"/>
    <w:pPr>
      <w:autoSpaceDE w:val="0"/>
      <w:autoSpaceDN w:val="0"/>
      <w:adjustRightInd w:val="0"/>
      <w:spacing w:before="240" w:after="60" w:line="360" w:lineRule="atLeast"/>
    </w:pPr>
    <w:rPr>
      <w:b/>
      <w:kern w:val="0"/>
      <w:sz w:val="24"/>
      <w:szCs w:val="20"/>
    </w:rPr>
  </w:style>
  <w:style w:type="paragraph" w:customStyle="1" w:styleId="69">
    <w:name w:val="Char"/>
    <w:basedOn w:val="1"/>
    <w:qFormat/>
    <w:uiPriority w:val="0"/>
    <w:pPr>
      <w:tabs>
        <w:tab w:val="left" w:pos="360"/>
      </w:tabs>
      <w:ind w:firstLine="420"/>
    </w:pPr>
    <w:rPr>
      <w:rFonts w:ascii="宋体" w:hAnsi="宋体"/>
      <w:b/>
      <w:szCs w:val="21"/>
    </w:rPr>
  </w:style>
  <w:style w:type="paragraph" w:customStyle="1" w:styleId="70">
    <w:name w:val="列出段落1"/>
    <w:basedOn w:val="1"/>
    <w:qFormat/>
    <w:uiPriority w:val="34"/>
    <w:pPr>
      <w:ind w:firstLine="420" w:firstLineChars="200"/>
    </w:pPr>
  </w:style>
  <w:style w:type="paragraph" w:customStyle="1" w:styleId="71">
    <w:name w:val="Normal_7"/>
    <w:qFormat/>
    <w:uiPriority w:val="0"/>
    <w:rPr>
      <w:rFonts w:ascii="黑体" w:hAnsi="黑体" w:eastAsia="黑体" w:cs="Times New Roman"/>
      <w:b/>
      <w:sz w:val="32"/>
      <w:szCs w:val="24"/>
      <w:lang w:val="en-US" w:eastAsia="zh-CN" w:bidi="ar-SA"/>
    </w:rPr>
  </w:style>
  <w:style w:type="paragraph" w:customStyle="1" w:styleId="72">
    <w:name w:val="_Style 2"/>
    <w:basedOn w:val="1"/>
    <w:qFormat/>
    <w:uiPriority w:val="0"/>
    <w:pPr>
      <w:widowControl/>
      <w:ind w:left="720"/>
      <w:contextualSpacing/>
      <w:jc w:val="left"/>
    </w:pPr>
    <w:rPr>
      <w:rFonts w:ascii="Calibri" w:hAnsi="Calibri"/>
      <w:kern w:val="0"/>
      <w:sz w:val="24"/>
      <w:lang w:eastAsia="en-US" w:bidi="en-US"/>
    </w:rPr>
  </w:style>
  <w:style w:type="paragraph" w:styleId="73">
    <w:name w:val="List Paragraph"/>
    <w:basedOn w:val="1"/>
    <w:qFormat/>
    <w:uiPriority w:val="34"/>
    <w:pPr>
      <w:ind w:firstLine="420" w:firstLineChars="200"/>
    </w:pPr>
    <w:rPr>
      <w:sz w:val="18"/>
      <w:szCs w:val="18"/>
    </w:rPr>
  </w:style>
  <w:style w:type="paragraph" w:customStyle="1" w:styleId="74">
    <w:name w:val="Char2"/>
    <w:basedOn w:val="1"/>
    <w:qFormat/>
    <w:uiPriority w:val="0"/>
    <w:rPr>
      <w:szCs w:val="20"/>
    </w:rPr>
  </w:style>
  <w:style w:type="paragraph" w:customStyle="1" w:styleId="75">
    <w:name w:val="列出段落11"/>
    <w:basedOn w:val="1"/>
    <w:qFormat/>
    <w:uiPriority w:val="99"/>
    <w:pPr>
      <w:ind w:firstLine="420" w:firstLineChars="200"/>
    </w:pPr>
  </w:style>
  <w:style w:type="paragraph" w:customStyle="1" w:styleId="76">
    <w:name w:val="p20"/>
    <w:basedOn w:val="1"/>
    <w:qFormat/>
    <w:uiPriority w:val="99"/>
    <w:pPr>
      <w:widowControl/>
      <w:ind w:firstLine="420"/>
    </w:pPr>
    <w:rPr>
      <w:rFonts w:ascii="Calibri" w:hAnsi="Calibri" w:cs="宋体"/>
      <w:kern w:val="0"/>
      <w:szCs w:val="21"/>
    </w:rPr>
  </w:style>
  <w:style w:type="paragraph" w:customStyle="1" w:styleId="77">
    <w:name w:val="a2"/>
    <w:basedOn w:val="1"/>
    <w:qFormat/>
    <w:uiPriority w:val="0"/>
    <w:pPr>
      <w:widowControl/>
      <w:spacing w:after="150"/>
      <w:jc w:val="left"/>
    </w:pPr>
    <w:rPr>
      <w:rFonts w:ascii="宋体" w:hAnsi="宋体" w:cs="宋体"/>
      <w:kern w:val="0"/>
      <w:sz w:val="24"/>
    </w:rPr>
  </w:style>
  <w:style w:type="paragraph" w:customStyle="1" w:styleId="78">
    <w:name w:val="Char Char Char Char1"/>
    <w:basedOn w:val="1"/>
    <w:qFormat/>
    <w:uiPriority w:val="0"/>
    <w:rPr>
      <w:szCs w:val="20"/>
    </w:rPr>
  </w:style>
  <w:style w:type="paragraph" w:customStyle="1" w:styleId="79">
    <w:name w:val="正文缩进1"/>
    <w:basedOn w:val="1"/>
    <w:qFormat/>
    <w:uiPriority w:val="0"/>
    <w:pPr>
      <w:spacing w:beforeLines="50" w:afterLines="50" w:line="360" w:lineRule="auto"/>
      <w:ind w:firstLine="200" w:firstLineChars="200"/>
    </w:pPr>
    <w:rPr>
      <w:sz w:val="24"/>
    </w:rPr>
  </w:style>
  <w:style w:type="paragraph" w:customStyle="1" w:styleId="8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1">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82">
    <w:name w:val="段落"/>
    <w:link w:val="123"/>
    <w:qFormat/>
    <w:uiPriority w:val="0"/>
    <w:pPr>
      <w:adjustRightInd w:val="0"/>
      <w:snapToGrid w:val="0"/>
      <w:spacing w:before="120" w:after="120" w:line="360" w:lineRule="auto"/>
      <w:ind w:firstLine="560" w:firstLineChars="200"/>
      <w:jc w:val="both"/>
    </w:pPr>
    <w:rPr>
      <w:rFonts w:ascii="仿宋_GB2312" w:hAnsi="Times New Roman" w:eastAsia="仿宋_GB2312" w:cs="Times New Roman"/>
      <w:sz w:val="28"/>
      <w:szCs w:val="28"/>
      <w:lang w:val="en-US" w:eastAsia="zh-CN" w:bidi="ar-SA"/>
    </w:rPr>
  </w:style>
  <w:style w:type="paragraph" w:customStyle="1" w:styleId="83">
    <w:name w:val="Char1 Char Char Char Char Char Char"/>
    <w:basedOn w:val="1"/>
    <w:qFormat/>
    <w:uiPriority w:val="0"/>
    <w:rPr>
      <w:rFonts w:ascii="Tahoma" w:hAnsi="Tahoma"/>
      <w:sz w:val="24"/>
      <w:szCs w:val="20"/>
    </w:rPr>
  </w:style>
  <w:style w:type="paragraph" w:customStyle="1" w:styleId="84">
    <w:name w:val="Char Char Char Char Char Char Char Char Char Char"/>
    <w:basedOn w:val="1"/>
    <w:qFormat/>
    <w:uiPriority w:val="0"/>
    <w:pPr>
      <w:adjustRightInd w:val="0"/>
      <w:spacing w:line="360" w:lineRule="auto"/>
    </w:pPr>
    <w:rPr>
      <w:kern w:val="0"/>
      <w:sz w:val="24"/>
      <w:szCs w:val="20"/>
    </w:rPr>
  </w:style>
  <w:style w:type="paragraph" w:customStyle="1" w:styleId="85">
    <w:name w:val="正文_5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
    <w:name w:val="p0"/>
    <w:basedOn w:val="1"/>
    <w:qFormat/>
    <w:uiPriority w:val="0"/>
    <w:pPr>
      <w:widowControl/>
    </w:pPr>
    <w:rPr>
      <w:kern w:val="0"/>
      <w:szCs w:val="21"/>
    </w:rPr>
  </w:style>
  <w:style w:type="paragraph" w:customStyle="1" w:styleId="87">
    <w:name w:val="Char Char Char Char Char Char Char Char Char Char1"/>
    <w:basedOn w:val="1"/>
    <w:qFormat/>
    <w:uiPriority w:val="0"/>
    <w:rPr>
      <w:szCs w:val="20"/>
    </w:rPr>
  </w:style>
  <w:style w:type="paragraph" w:customStyle="1" w:styleId="88">
    <w:name w:val="（符号）三标题1.1"/>
    <w:basedOn w:val="1"/>
    <w:qFormat/>
    <w:uiPriority w:val="0"/>
    <w:pPr>
      <w:numPr>
        <w:ilvl w:val="1"/>
        <w:numId w:val="5"/>
      </w:numPr>
      <w:tabs>
        <w:tab w:val="left" w:pos="700"/>
      </w:tabs>
      <w:spacing w:line="500" w:lineRule="exact"/>
    </w:pPr>
    <w:rPr>
      <w:rFonts w:ascii="宋体" w:hAnsi="宋体"/>
      <w:sz w:val="24"/>
    </w:rPr>
  </w:style>
  <w:style w:type="paragraph" w:customStyle="1" w:styleId="89">
    <w:name w:val="样式 宋体 行距: 固定值 24 磅"/>
    <w:basedOn w:val="1"/>
    <w:link w:val="102"/>
    <w:qFormat/>
    <w:uiPriority w:val="0"/>
    <w:pPr>
      <w:spacing w:line="480" w:lineRule="exact"/>
      <w:ind w:firstLine="480" w:firstLineChars="200"/>
    </w:pPr>
    <w:rPr>
      <w:rFonts w:ascii="宋体" w:cs="宋体"/>
      <w:sz w:val="24"/>
    </w:rPr>
  </w:style>
  <w:style w:type="paragraph" w:customStyle="1" w:styleId="90">
    <w:name w:val="标准"/>
    <w:basedOn w:val="1"/>
    <w:qFormat/>
    <w:uiPriority w:val="0"/>
    <w:pPr>
      <w:spacing w:line="360" w:lineRule="auto"/>
      <w:ind w:firstLine="200" w:firstLineChars="200"/>
    </w:pPr>
    <w:rPr>
      <w:szCs w:val="20"/>
    </w:rPr>
  </w:style>
  <w:style w:type="character" w:customStyle="1" w:styleId="91">
    <w:name w:val="font11"/>
    <w:qFormat/>
    <w:uiPriority w:val="0"/>
    <w:rPr>
      <w:rFonts w:hint="eastAsia" w:ascii="黑体" w:hAnsi="宋体" w:eastAsia="黑体" w:cs="黑体"/>
      <w:color w:val="000000"/>
      <w:sz w:val="20"/>
      <w:szCs w:val="20"/>
      <w:u w:val="none"/>
    </w:rPr>
  </w:style>
  <w:style w:type="character" w:customStyle="1" w:styleId="92">
    <w:name w:val="Char Char Char"/>
    <w:qFormat/>
    <w:uiPriority w:val="0"/>
    <w:rPr>
      <w:rFonts w:hint="eastAsia" w:ascii="宋体" w:hAnsi="宋体" w:eastAsia="宋体"/>
      <w:sz w:val="21"/>
      <w:szCs w:val="21"/>
      <w:lang w:val="en-US" w:eastAsia="zh-CN"/>
    </w:rPr>
  </w:style>
  <w:style w:type="character" w:customStyle="1" w:styleId="93">
    <w:name w:val="Char Char4"/>
    <w:qFormat/>
    <w:uiPriority w:val="0"/>
    <w:rPr>
      <w:rFonts w:eastAsia="宋体"/>
      <w:kern w:val="2"/>
      <w:sz w:val="18"/>
      <w:szCs w:val="18"/>
      <w:lang w:val="en-US" w:eastAsia="zh-CN" w:bidi="ar-SA"/>
    </w:rPr>
  </w:style>
  <w:style w:type="character" w:customStyle="1" w:styleId="94">
    <w:name w:val="font91"/>
    <w:qFormat/>
    <w:uiPriority w:val="0"/>
    <w:rPr>
      <w:rFonts w:hint="eastAsia" w:ascii="宋体" w:hAnsi="宋体" w:eastAsia="宋体" w:cs="宋体"/>
      <w:color w:val="000000"/>
      <w:sz w:val="20"/>
      <w:szCs w:val="20"/>
      <w:u w:val="none"/>
      <w:vertAlign w:val="superscript"/>
    </w:rPr>
  </w:style>
  <w:style w:type="character" w:customStyle="1" w:styleId="95">
    <w:name w:val="text11"/>
    <w:qFormat/>
    <w:uiPriority w:val="0"/>
    <w:rPr>
      <w:rFonts w:hint="default" w:ascii="Verdana" w:hAnsi="Verdana"/>
      <w:color w:val="4E4E4E"/>
      <w:sz w:val="18"/>
      <w:szCs w:val="18"/>
    </w:rPr>
  </w:style>
  <w:style w:type="character" w:customStyle="1" w:styleId="96">
    <w:name w:val="ca-41"/>
    <w:qFormat/>
    <w:uiPriority w:val="0"/>
    <w:rPr>
      <w:rFonts w:hint="eastAsia" w:ascii="宋体" w:hAnsi="宋体" w:eastAsia="宋体"/>
      <w:sz w:val="21"/>
      <w:szCs w:val="21"/>
    </w:rPr>
  </w:style>
  <w:style w:type="character" w:customStyle="1" w:styleId="97">
    <w:name w:val="Char Char21"/>
    <w:qFormat/>
    <w:locked/>
    <w:uiPriority w:val="0"/>
    <w:rPr>
      <w:kern w:val="2"/>
      <w:sz w:val="21"/>
      <w:szCs w:val="24"/>
    </w:rPr>
  </w:style>
  <w:style w:type="character" w:customStyle="1" w:styleId="98">
    <w:name w:val="特点 Char1"/>
    <w:qFormat/>
    <w:locked/>
    <w:uiPriority w:val="0"/>
    <w:rPr>
      <w:rFonts w:eastAsia="宋体"/>
      <w:kern w:val="2"/>
      <w:sz w:val="21"/>
      <w:lang w:val="en-US" w:eastAsia="zh-CN" w:bidi="ar-SA"/>
    </w:rPr>
  </w:style>
  <w:style w:type="character" w:customStyle="1" w:styleId="99">
    <w:name w:val="font41"/>
    <w:qFormat/>
    <w:uiPriority w:val="0"/>
    <w:rPr>
      <w:rFonts w:hint="eastAsia" w:ascii="宋体" w:hAnsi="宋体" w:eastAsia="宋体" w:cs="宋体"/>
      <w:color w:val="000000"/>
      <w:sz w:val="20"/>
      <w:szCs w:val="20"/>
      <w:u w:val="none"/>
    </w:rPr>
  </w:style>
  <w:style w:type="character" w:customStyle="1" w:styleId="100">
    <w:name w:val="标题 4 Char"/>
    <w:link w:val="8"/>
    <w:qFormat/>
    <w:uiPriority w:val="0"/>
    <w:rPr>
      <w:rFonts w:ascii="宋体" w:hAnsi="宋体"/>
      <w:b/>
      <w:bCs/>
      <w:kern w:val="2"/>
      <w:sz w:val="28"/>
      <w:szCs w:val="28"/>
    </w:rPr>
  </w:style>
  <w:style w:type="character" w:customStyle="1" w:styleId="101">
    <w:name w:val="标题 1 Char Char"/>
    <w:qFormat/>
    <w:uiPriority w:val="0"/>
    <w:rPr>
      <w:rFonts w:hint="eastAsia" w:ascii="宋体" w:hAnsi="宋体" w:eastAsia="宋体"/>
      <w:b/>
      <w:spacing w:val="-2"/>
      <w:sz w:val="24"/>
      <w:lang w:val="en-US" w:eastAsia="zh-CN" w:bidi="ar-SA"/>
    </w:rPr>
  </w:style>
  <w:style w:type="character" w:customStyle="1" w:styleId="102">
    <w:name w:val="样式 宋体 行距: 固定值 24 磅 Char"/>
    <w:link w:val="89"/>
    <w:qFormat/>
    <w:uiPriority w:val="0"/>
    <w:rPr>
      <w:rFonts w:ascii="宋体" w:eastAsia="宋体" w:cs="宋体"/>
      <w:kern w:val="2"/>
      <w:sz w:val="24"/>
      <w:szCs w:val="24"/>
      <w:lang w:val="en-US" w:eastAsia="zh-CN" w:bidi="ar-SA"/>
    </w:rPr>
  </w:style>
  <w:style w:type="character" w:customStyle="1" w:styleId="103">
    <w:name w:val="search_content1"/>
    <w:qFormat/>
    <w:uiPriority w:val="0"/>
    <w:rPr>
      <w:sz w:val="187"/>
      <w:szCs w:val="187"/>
    </w:rPr>
  </w:style>
  <w:style w:type="character" w:customStyle="1" w:styleId="104">
    <w:name w:val="ca-1"/>
    <w:basedOn w:val="37"/>
    <w:qFormat/>
    <w:uiPriority w:val="0"/>
  </w:style>
  <w:style w:type="character" w:customStyle="1" w:styleId="105">
    <w:name w:val="font61"/>
    <w:qFormat/>
    <w:uiPriority w:val="0"/>
    <w:rPr>
      <w:rFonts w:hint="eastAsia" w:ascii="宋体" w:hAnsi="宋体" w:eastAsia="宋体" w:cs="宋体"/>
      <w:color w:val="000000"/>
      <w:sz w:val="18"/>
      <w:szCs w:val="18"/>
      <w:u w:val="none"/>
    </w:rPr>
  </w:style>
  <w:style w:type="character" w:customStyle="1" w:styleId="106">
    <w:name w:val="font81"/>
    <w:qFormat/>
    <w:uiPriority w:val="0"/>
    <w:rPr>
      <w:rFonts w:hint="eastAsia" w:ascii="黑体" w:hAnsi="宋体" w:eastAsia="黑体" w:cs="黑体"/>
      <w:color w:val="000000"/>
      <w:sz w:val="20"/>
      <w:szCs w:val="20"/>
      <w:u w:val="none"/>
      <w:vertAlign w:val="superscript"/>
    </w:rPr>
  </w:style>
  <w:style w:type="character" w:customStyle="1" w:styleId="107">
    <w:name w:val="页脚 Char"/>
    <w:link w:val="22"/>
    <w:qFormat/>
    <w:uiPriority w:val="99"/>
    <w:rPr>
      <w:rFonts w:eastAsia="宋体"/>
      <w:kern w:val="2"/>
      <w:sz w:val="18"/>
      <w:szCs w:val="18"/>
      <w:lang w:val="en-US" w:eastAsia="zh-CN" w:bidi="ar-SA"/>
    </w:rPr>
  </w:style>
  <w:style w:type="character" w:customStyle="1" w:styleId="108">
    <w:name w:val="edittexttarea"/>
    <w:qFormat/>
    <w:uiPriority w:val="0"/>
  </w:style>
  <w:style w:type="character" w:customStyle="1" w:styleId="109">
    <w:name w:val="Char Char6"/>
    <w:qFormat/>
    <w:locked/>
    <w:uiPriority w:val="0"/>
    <w:rPr>
      <w:rFonts w:eastAsia="宋体"/>
      <w:kern w:val="2"/>
      <w:sz w:val="21"/>
      <w:lang w:val="en-US" w:eastAsia="zh-CN" w:bidi="ar-SA"/>
    </w:rPr>
  </w:style>
  <w:style w:type="character" w:customStyle="1" w:styleId="110">
    <w:name w:val="HTML 预设格式 Char"/>
    <w:link w:val="27"/>
    <w:qFormat/>
    <w:uiPriority w:val="0"/>
    <w:rPr>
      <w:rFonts w:ascii="宋体" w:hAnsi="宋体" w:cs="宋体"/>
      <w:sz w:val="24"/>
      <w:szCs w:val="24"/>
    </w:rPr>
  </w:style>
  <w:style w:type="character" w:customStyle="1" w:styleId="111">
    <w:name w:val="标题 3 Char"/>
    <w:link w:val="7"/>
    <w:qFormat/>
    <w:uiPriority w:val="0"/>
    <w:rPr>
      <w:rFonts w:eastAsia="宋体"/>
      <w:b/>
      <w:bCs/>
      <w:kern w:val="2"/>
      <w:sz w:val="32"/>
      <w:szCs w:val="32"/>
      <w:lang w:val="en-US" w:eastAsia="zh-CN" w:bidi="ar-SA"/>
    </w:rPr>
  </w:style>
  <w:style w:type="character" w:customStyle="1" w:styleId="112">
    <w:name w:val="表格样式居左 Char"/>
    <w:link w:val="50"/>
    <w:qFormat/>
    <w:uiPriority w:val="0"/>
    <w:rPr>
      <w:rFonts w:eastAsia="仿宋_GB2312"/>
      <w:bCs/>
      <w:color w:val="000000"/>
      <w:sz w:val="21"/>
      <w:szCs w:val="44"/>
      <w:lang w:val="en-US" w:eastAsia="zh-CN" w:bidi="ar-SA"/>
    </w:rPr>
  </w:style>
  <w:style w:type="character" w:customStyle="1" w:styleId="113">
    <w:name w:val="页眉 Char"/>
    <w:link w:val="23"/>
    <w:qFormat/>
    <w:uiPriority w:val="0"/>
    <w:rPr>
      <w:rFonts w:eastAsia="宋体"/>
      <w:kern w:val="2"/>
      <w:sz w:val="18"/>
      <w:lang w:val="en-US" w:eastAsia="zh-CN" w:bidi="ar-SA"/>
    </w:rPr>
  </w:style>
  <w:style w:type="character" w:customStyle="1" w:styleId="114">
    <w:name w:val="ca-301"/>
    <w:qFormat/>
    <w:uiPriority w:val="0"/>
    <w:rPr>
      <w:rFonts w:hint="eastAsia" w:ascii="楷体_GB2312" w:eastAsia="楷体_GB2312"/>
      <w:color w:val="0000FF"/>
      <w:sz w:val="24"/>
      <w:szCs w:val="24"/>
    </w:rPr>
  </w:style>
  <w:style w:type="character" w:customStyle="1" w:styleId="115">
    <w:name w:val="ca-01"/>
    <w:qFormat/>
    <w:uiPriority w:val="0"/>
    <w:rPr>
      <w:rFonts w:hint="eastAsia" w:ascii="宋体" w:hAnsi="宋体" w:eastAsia="宋体"/>
      <w:b/>
      <w:bCs/>
      <w:spacing w:val="-20"/>
      <w:sz w:val="21"/>
      <w:szCs w:val="21"/>
    </w:rPr>
  </w:style>
  <w:style w:type="character" w:customStyle="1" w:styleId="116">
    <w:name w:val="ca-21"/>
    <w:qFormat/>
    <w:uiPriority w:val="0"/>
    <w:rPr>
      <w:rFonts w:hint="default" w:ascii="Times New Roman" w:hAnsi="Times New Roman" w:cs="Times New Roman"/>
      <w:sz w:val="21"/>
      <w:szCs w:val="21"/>
    </w:rPr>
  </w:style>
  <w:style w:type="character" w:customStyle="1" w:styleId="117">
    <w:name w:val="纯文本 Char"/>
    <w:link w:val="19"/>
    <w:qFormat/>
    <w:locked/>
    <w:uiPriority w:val="0"/>
    <w:rPr>
      <w:rFonts w:ascii="宋体" w:hAnsi="Courier New" w:eastAsia="宋体"/>
      <w:kern w:val="2"/>
      <w:sz w:val="21"/>
      <w:lang w:val="en-US" w:eastAsia="zh-CN" w:bidi="ar-SA"/>
    </w:rPr>
  </w:style>
  <w:style w:type="character" w:customStyle="1" w:styleId="118">
    <w:name w:val="Char Char Char2"/>
    <w:qFormat/>
    <w:uiPriority w:val="0"/>
    <w:rPr>
      <w:rFonts w:ascii="宋体" w:eastAsia="宋体"/>
      <w:sz w:val="21"/>
      <w:szCs w:val="21"/>
      <w:lang w:val="en-US" w:eastAsia="zh-CN"/>
    </w:rPr>
  </w:style>
  <w:style w:type="character" w:customStyle="1" w:styleId="119">
    <w:name w:val="ca-221"/>
    <w:qFormat/>
    <w:uiPriority w:val="0"/>
    <w:rPr>
      <w:rFonts w:hint="eastAsia" w:ascii="楷体_GB2312" w:eastAsia="楷体_GB2312"/>
      <w:color w:val="FF0000"/>
      <w:sz w:val="24"/>
      <w:szCs w:val="24"/>
    </w:rPr>
  </w:style>
  <w:style w:type="character" w:customStyle="1" w:styleId="120">
    <w:name w:val="text"/>
    <w:basedOn w:val="37"/>
    <w:qFormat/>
    <w:uiPriority w:val="0"/>
  </w:style>
  <w:style w:type="character" w:customStyle="1" w:styleId="121">
    <w:name w:val="正文缩进 Char"/>
    <w:link w:val="6"/>
    <w:qFormat/>
    <w:locked/>
    <w:uiPriority w:val="0"/>
    <w:rPr>
      <w:rFonts w:eastAsia="宋体"/>
      <w:kern w:val="2"/>
      <w:sz w:val="21"/>
      <w:lang w:val="en-US" w:eastAsia="zh-CN" w:bidi="ar-SA"/>
    </w:rPr>
  </w:style>
  <w:style w:type="character" w:customStyle="1" w:styleId="122">
    <w:name w:val="ca-51"/>
    <w:qFormat/>
    <w:uiPriority w:val="0"/>
    <w:rPr>
      <w:rFonts w:hint="eastAsia" w:ascii="宋体" w:hAnsi="宋体" w:eastAsia="宋体"/>
      <w:color w:val="000000"/>
      <w:spacing w:val="20"/>
      <w:sz w:val="21"/>
      <w:szCs w:val="21"/>
    </w:rPr>
  </w:style>
  <w:style w:type="character" w:customStyle="1" w:styleId="123">
    <w:name w:val="段落 Char1"/>
    <w:link w:val="82"/>
    <w:qFormat/>
    <w:uiPriority w:val="0"/>
    <w:rPr>
      <w:rFonts w:ascii="仿宋_GB2312" w:eastAsia="仿宋_GB2312"/>
      <w:sz w:val="28"/>
      <w:szCs w:val="28"/>
      <w:lang w:val="en-US" w:eastAsia="zh-CN" w:bidi="ar-SA"/>
    </w:rPr>
  </w:style>
  <w:style w:type="character" w:customStyle="1" w:styleId="124">
    <w:name w:val="ca-11"/>
    <w:qFormat/>
    <w:uiPriority w:val="0"/>
    <w:rPr>
      <w:rFonts w:hint="eastAsia" w:ascii="宋体" w:hAnsi="宋体" w:eastAsia="宋体"/>
      <w:color w:val="000000"/>
      <w:sz w:val="21"/>
      <w:szCs w:val="21"/>
    </w:rPr>
  </w:style>
  <w:style w:type="table" w:customStyle="1" w:styleId="125">
    <w:name w:val="浅色底纹 - 强调文字颜色 11"/>
    <w:basedOn w:val="33"/>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table" w:customStyle="1" w:styleId="126">
    <w:name w:val="浅色底纹1"/>
    <w:basedOn w:val="33"/>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character" w:customStyle="1" w:styleId="127">
    <w:name w:val="Plain Text Char"/>
    <w:qFormat/>
    <w:uiPriority w:val="0"/>
    <w:rPr>
      <w:rFonts w:ascii="宋体" w:hAnsi="宋体" w:eastAsia="宋体" w:cs="宋体"/>
      <w:kern w:val="2"/>
      <w:sz w:val="24"/>
      <w:szCs w:val="24"/>
      <w:lang w:val="en-US" w:eastAsia="zh-CN" w:bidi="ar-SA"/>
    </w:rPr>
  </w:style>
  <w:style w:type="paragraph" w:customStyle="1" w:styleId="128">
    <w:name w:val="样式 样式 标题 1 + (中文) 黑体 小三 居中 左侧:  0 厘米 悬挂缩进: 4.32 字符 段后: 6 磅 行距......"/>
    <w:basedOn w:val="1"/>
    <w:qFormat/>
    <w:uiPriority w:val="0"/>
    <w:pPr>
      <w:keepNext/>
      <w:keepLines/>
      <w:tabs>
        <w:tab w:val="left" w:pos="344"/>
      </w:tabs>
      <w:spacing w:before="120" w:after="120" w:line="360" w:lineRule="auto"/>
      <w:ind w:left="96" w:hanging="92"/>
      <w:jc w:val="center"/>
      <w:outlineLvl w:val="0"/>
    </w:pPr>
    <w:rPr>
      <w:rFonts w:ascii="宋体" w:hAnsi="宋体" w:cs="宋体"/>
      <w:b/>
      <w:bCs/>
      <w:sz w:val="32"/>
      <w:szCs w:val="32"/>
    </w:rPr>
  </w:style>
  <w:style w:type="paragraph" w:customStyle="1" w:styleId="129">
    <w:name w:val="样式 样式 标题 3三级 标题 3 + 黑体 小四 非加粗 + 非加宽量 / 紧缩量"/>
    <w:basedOn w:val="1"/>
    <w:qFormat/>
    <w:uiPriority w:val="0"/>
    <w:pPr>
      <w:keepNext/>
      <w:keepLines/>
      <w:tabs>
        <w:tab w:val="left" w:pos="725"/>
      </w:tabs>
      <w:spacing w:before="120" w:after="120" w:line="360" w:lineRule="auto"/>
      <w:ind w:left="725" w:hanging="720"/>
      <w:outlineLvl w:val="2"/>
    </w:pPr>
    <w:rPr>
      <w:rFonts w:ascii="宋体" w:hAnsi="宋体"/>
      <w:b/>
      <w:bCs/>
      <w:sz w:val="24"/>
    </w:rPr>
  </w:style>
  <w:style w:type="paragraph" w:customStyle="1" w:styleId="130">
    <w:name w:val="列表段落1"/>
    <w:basedOn w:val="1"/>
    <w:next w:val="73"/>
    <w:link w:val="131"/>
    <w:qFormat/>
    <w:uiPriority w:val="34"/>
    <w:pPr>
      <w:spacing w:line="360" w:lineRule="auto"/>
      <w:ind w:firstLine="420" w:firstLineChars="200"/>
    </w:pPr>
    <w:rPr>
      <w:sz w:val="24"/>
    </w:rPr>
  </w:style>
  <w:style w:type="character" w:customStyle="1" w:styleId="131">
    <w:name w:val="列出段落 Char"/>
    <w:link w:val="130"/>
    <w:qFormat/>
    <w:uiPriority w:val="34"/>
    <w:rPr>
      <w:kern w:val="2"/>
      <w:sz w:val="24"/>
      <w:szCs w:val="24"/>
    </w:rPr>
  </w:style>
  <w:style w:type="paragraph" w:styleId="132">
    <w:name w:val="No Spacing"/>
    <w:qFormat/>
    <w:uiPriority w:val="1"/>
    <w:pPr>
      <w:widowControl w:val="0"/>
      <w:ind w:firstLine="200" w:firstLineChars="200"/>
      <w:jc w:val="both"/>
    </w:pPr>
    <w:rPr>
      <w:rFonts w:eastAsia="宋体" w:asciiTheme="minorHAnsi" w:hAnsiTheme="minorHAnsi" w:cstheme="minorBidi"/>
      <w:kern w:val="2"/>
      <w:sz w:val="24"/>
      <w:szCs w:val="22"/>
      <w:lang w:val="en-US" w:eastAsia="zh-CN" w:bidi="ar-SA"/>
    </w:rPr>
  </w:style>
  <w:style w:type="character" w:customStyle="1" w:styleId="133">
    <w:name w:val="fontstyle01"/>
    <w:basedOn w:val="37"/>
    <w:qFormat/>
    <w:uiPriority w:val="0"/>
    <w:rPr>
      <w:rFonts w:hint="default" w:ascii="ArialUnicodeMS" w:hAnsi="ArialUnicodeMS"/>
      <w:color w:val="000000"/>
      <w:sz w:val="22"/>
      <w:szCs w:val="22"/>
    </w:rPr>
  </w:style>
  <w:style w:type="character" w:customStyle="1" w:styleId="134">
    <w:name w:val="标题 1 Char"/>
    <w:basedOn w:val="37"/>
    <w:link w:val="4"/>
    <w:qFormat/>
    <w:uiPriority w:val="0"/>
    <w:rPr>
      <w:rFonts w:eastAsia="黑体"/>
      <w:b/>
      <w:kern w:val="44"/>
      <w:sz w:val="36"/>
    </w:rPr>
  </w:style>
  <w:style w:type="paragraph" w:customStyle="1" w:styleId="135">
    <w:name w:val="font5"/>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36">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7">
    <w:name w:val="font7"/>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138">
    <w:name w:val="font8"/>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139">
    <w:name w:val="font9"/>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140">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1">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142">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143">
    <w:name w:val="xl65"/>
    <w:basedOn w:val="1"/>
    <w:qFormat/>
    <w:uiPriority w:val="0"/>
    <w:pPr>
      <w:widowControl/>
      <w:spacing w:before="100" w:beforeAutospacing="1" w:after="100" w:afterAutospacing="1"/>
      <w:jc w:val="center"/>
      <w:textAlignment w:val="center"/>
    </w:pPr>
    <w:rPr>
      <w:rFonts w:ascii="宋体" w:hAnsi="宋体" w:cs="宋体"/>
      <w:kern w:val="0"/>
      <w:sz w:val="40"/>
      <w:szCs w:val="40"/>
    </w:rPr>
  </w:style>
  <w:style w:type="paragraph" w:customStyle="1" w:styleId="144">
    <w:name w:val="xl66"/>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45">
    <w:name w:val="xl67"/>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4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47">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48">
    <w:name w:val="xl7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left"/>
    </w:pPr>
    <w:rPr>
      <w:rFonts w:ascii="宋体" w:hAnsi="宋体" w:cs="宋体"/>
      <w:kern w:val="0"/>
      <w:sz w:val="24"/>
    </w:rPr>
  </w:style>
  <w:style w:type="paragraph" w:customStyle="1" w:styleId="14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5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15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15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FF0000"/>
      <w:kern w:val="0"/>
      <w:sz w:val="18"/>
      <w:szCs w:val="18"/>
    </w:rPr>
  </w:style>
  <w:style w:type="paragraph" w:customStyle="1" w:styleId="154">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5">
    <w:name w:val="xl7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6">
    <w:name w:val="xl78"/>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15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15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15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18"/>
      <w:szCs w:val="18"/>
    </w:rPr>
  </w:style>
  <w:style w:type="paragraph" w:customStyle="1" w:styleId="16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textAlignment w:val="center"/>
    </w:pPr>
    <w:rPr>
      <w:rFonts w:ascii="宋体" w:hAnsi="宋体" w:cs="宋体"/>
      <w:color w:val="FF0000"/>
      <w:kern w:val="0"/>
      <w:sz w:val="18"/>
      <w:szCs w:val="18"/>
    </w:rPr>
  </w:style>
  <w:style w:type="paragraph" w:customStyle="1" w:styleId="16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 w:val="18"/>
      <w:szCs w:val="18"/>
    </w:rPr>
  </w:style>
  <w:style w:type="paragraph" w:customStyle="1" w:styleId="16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FF0000"/>
      <w:kern w:val="0"/>
      <w:sz w:val="18"/>
      <w:szCs w:val="18"/>
    </w:rPr>
  </w:style>
  <w:style w:type="paragraph" w:customStyle="1" w:styleId="163">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4">
    <w:name w:val="xl86"/>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textAlignment w:val="center"/>
    </w:pPr>
    <w:rPr>
      <w:rFonts w:ascii="宋体" w:hAnsi="宋体" w:cs="宋体"/>
      <w:kern w:val="0"/>
      <w:sz w:val="24"/>
    </w:rPr>
  </w:style>
  <w:style w:type="character" w:customStyle="1" w:styleId="165">
    <w:name w:val="font01"/>
    <w:basedOn w:val="37"/>
    <w:qFormat/>
    <w:uiPriority w:val="0"/>
    <w:rPr>
      <w:rFonts w:hint="default" w:ascii="Calibri" w:hAnsi="Calibri" w:cs="Calibri"/>
      <w:color w:val="000000"/>
      <w:sz w:val="20"/>
      <w:szCs w:val="20"/>
      <w:u w:val="none"/>
    </w:rPr>
  </w:style>
  <w:style w:type="paragraph" w:customStyle="1" w:styleId="166">
    <w:name w:val="WPSOffice手动目录 1"/>
    <w:qFormat/>
    <w:uiPriority w:val="0"/>
    <w:rPr>
      <w:rFonts w:ascii="Times New Roman" w:hAnsi="Times New Roman" w:eastAsia="宋体" w:cs="Times New Roman"/>
      <w:lang w:val="en-US" w:eastAsia="zh-CN" w:bidi="ar-SA"/>
    </w:rPr>
  </w:style>
  <w:style w:type="paragraph" w:customStyle="1" w:styleId="167">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177</Pages>
  <Words>18270</Words>
  <Characters>104140</Characters>
  <Lines>867</Lines>
  <Paragraphs>244</Paragraphs>
  <TotalTime>4</TotalTime>
  <ScaleCrop>false</ScaleCrop>
  <LinksUpToDate>false</LinksUpToDate>
  <CharactersWithSpaces>122166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2020-09-01T02:23:00Z</dcterms:created>
  <dc:creator>User</dc:creator>
  <cp:lastModifiedBy>Administrator</cp:lastModifiedBy>
  <cp:lastPrinted>2019-10-30T00:53:00Z</cp:lastPrinted>
  <dcterms:modified xsi:type="dcterms:W3CDTF">2020-09-07T08:52:34Z</dcterms:modified>
  <dc:title>福建省省级政府采购</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